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A18E9B">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Times New Roman" w:hAnsi="Times New Roman" w:eastAsia="宋体" w:cs="Times New Roman"/>
          <w:b/>
          <w:bCs/>
          <w:sz w:val="28"/>
          <w:szCs w:val="28"/>
          <w:lang w:val="en-US" w:eastAsia="zh-CN"/>
        </w:rPr>
      </w:pPr>
      <w:r>
        <w:rPr>
          <w:rFonts w:hint="eastAsia" w:ascii="Times New Roman" w:hAnsi="Times New Roman" w:cs="Times New Roman"/>
          <w:b/>
          <w:bCs/>
          <w:sz w:val="28"/>
          <w:szCs w:val="28"/>
          <w:lang w:val="en-US" w:eastAsia="zh-CN"/>
        </w:rPr>
        <w:t>茌平信源环保建材有限公司脱硫石膏资源综合利用扩建项目</w:t>
      </w:r>
    </w:p>
    <w:p w14:paraId="78F46713">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Times New Roman" w:hAnsi="Times New Roman" w:eastAsia="宋体" w:cs="Times New Roman"/>
          <w:b/>
          <w:bCs/>
          <w:sz w:val="32"/>
          <w:szCs w:val="32"/>
          <w:lang w:eastAsia="zh-CN"/>
        </w:rPr>
      </w:pPr>
      <w:r>
        <w:rPr>
          <w:rFonts w:hint="default" w:ascii="Times New Roman" w:hAnsi="Times New Roman" w:eastAsia="宋体" w:cs="Times New Roman"/>
          <w:b/>
          <w:bCs/>
          <w:sz w:val="28"/>
          <w:szCs w:val="28"/>
          <w:lang w:eastAsia="zh-CN"/>
        </w:rPr>
        <w:t>竣工环境保护验收其他需要说明的事项</w:t>
      </w:r>
    </w:p>
    <w:p w14:paraId="7FEAF90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根据《建设项目竣工环境保护验收暂行办法》，建设单位在“其他需要说明的事项”中应当如实记载环境保护设施设计、施工和验收过程简况、环境影响报告书（表）及其审批部门审批决定中提出的除环境保护设施外的其他环境保护对策措施的实施情况，以及整改工作情况等。现将建设单位需要说明的具体内容和要求列举如下：</w:t>
      </w:r>
    </w:p>
    <w:p w14:paraId="37916CE9">
      <w:pPr>
        <w:keepNext w:val="0"/>
        <w:keepLines w:val="0"/>
        <w:pageBreakBefore w:val="0"/>
        <w:kinsoku/>
        <w:wordWrap/>
        <w:overflowPunct/>
        <w:topLinePunct w:val="0"/>
        <w:bidi w:val="0"/>
        <w:spacing w:line="560" w:lineRule="exact"/>
        <w:textAlignment w:val="auto"/>
        <w:outlineLvl w:val="9"/>
        <w:rPr>
          <w:rFonts w:hint="default" w:ascii="Times New Roman" w:hAnsi="Times New Roman" w:cs="Times New Roman" w:eastAsiaTheme="minorEastAsia"/>
          <w:b/>
          <w:sz w:val="28"/>
          <w:szCs w:val="28"/>
        </w:rPr>
      </w:pPr>
      <w:r>
        <w:rPr>
          <w:rFonts w:hint="default" w:ascii="Times New Roman" w:hAnsi="Times New Roman" w:cs="Times New Roman" w:eastAsiaTheme="minorEastAsia"/>
          <w:b/>
          <w:sz w:val="28"/>
          <w:szCs w:val="28"/>
          <w:lang w:val="en-US" w:eastAsia="zh-CN"/>
        </w:rPr>
        <w:t xml:space="preserve">1 </w:t>
      </w:r>
      <w:r>
        <w:rPr>
          <w:rFonts w:hint="default" w:ascii="Times New Roman" w:hAnsi="Times New Roman" w:cs="Times New Roman" w:eastAsiaTheme="minorEastAsia"/>
          <w:b/>
          <w:sz w:val="28"/>
          <w:szCs w:val="28"/>
        </w:rPr>
        <w:t>环境保护设施设计、施工和验收过程简况</w:t>
      </w:r>
    </w:p>
    <w:p w14:paraId="542E3359">
      <w:pPr>
        <w:keepNext w:val="0"/>
        <w:keepLines w:val="0"/>
        <w:pageBreakBefore w:val="0"/>
        <w:kinsoku/>
        <w:wordWrap/>
        <w:overflowPunct/>
        <w:topLinePunct w:val="0"/>
        <w:bidi w:val="0"/>
        <w:spacing w:line="560" w:lineRule="exact"/>
        <w:ind w:firstLine="560"/>
        <w:textAlignment w:val="auto"/>
        <w:outlineLvl w:val="9"/>
        <w:rPr>
          <w:rFonts w:hint="default"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1.1 项目</w:t>
      </w:r>
      <w:r>
        <w:rPr>
          <w:rFonts w:hint="default" w:ascii="Times New Roman" w:hAnsi="Times New Roman" w:cs="Times New Roman" w:eastAsiaTheme="minorEastAsia"/>
          <w:b/>
          <w:sz w:val="28"/>
          <w:szCs w:val="28"/>
        </w:rPr>
        <w:t>设计简况</w:t>
      </w:r>
      <w:r>
        <w:rPr>
          <w:rFonts w:hint="default" w:ascii="Times New Roman" w:hAnsi="Times New Roman" w:cs="Times New Roman" w:eastAsiaTheme="minorEastAsia"/>
          <w:b/>
          <w:sz w:val="28"/>
          <w:szCs w:val="28"/>
          <w:lang w:val="en-US" w:eastAsia="zh-CN"/>
        </w:rPr>
        <w:t xml:space="preserve"> </w:t>
      </w:r>
    </w:p>
    <w:p w14:paraId="4662360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本</w:t>
      </w:r>
      <w:r>
        <w:rPr>
          <w:rFonts w:hint="default" w:ascii="Times New Roman" w:hAnsi="Times New Roman" w:cs="Times New Roman" w:eastAsiaTheme="minorEastAsia"/>
          <w:sz w:val="24"/>
          <w:szCs w:val="24"/>
          <w:lang w:val="en-US" w:eastAsia="zh-CN"/>
        </w:rPr>
        <w:t>项目的环境保护设施</w:t>
      </w:r>
      <w:r>
        <w:rPr>
          <w:rFonts w:hint="eastAsia" w:ascii="Times New Roman" w:hAnsi="Times New Roman" w:cs="Times New Roman" w:eastAsiaTheme="minorEastAsia"/>
          <w:sz w:val="24"/>
          <w:szCs w:val="24"/>
          <w:lang w:val="en-US" w:eastAsia="zh-CN"/>
        </w:rPr>
        <w:t>未</w:t>
      </w:r>
      <w:r>
        <w:rPr>
          <w:rFonts w:hint="default" w:ascii="Times New Roman" w:hAnsi="Times New Roman" w:cs="Times New Roman" w:eastAsiaTheme="minorEastAsia"/>
          <w:sz w:val="24"/>
          <w:szCs w:val="24"/>
          <w:lang w:val="en-US" w:eastAsia="zh-CN"/>
        </w:rPr>
        <w:t>纳入了初步设计，环境保护设施的设计符合环境保护设计规范的要求，落实了防治污染和生态破环的措施以及环境保护设施投资概算。</w:t>
      </w:r>
    </w:p>
    <w:p w14:paraId="07BDFEA5">
      <w:pPr>
        <w:keepNext w:val="0"/>
        <w:keepLines w:val="0"/>
        <w:pageBreakBefore w:val="0"/>
        <w:kinsoku/>
        <w:wordWrap/>
        <w:overflowPunct/>
        <w:topLinePunct w:val="0"/>
        <w:bidi w:val="0"/>
        <w:spacing w:line="560" w:lineRule="exact"/>
        <w:ind w:firstLine="560"/>
        <w:textAlignment w:val="auto"/>
        <w:outlineLvl w:val="9"/>
        <w:rPr>
          <w:rFonts w:hint="eastAsia"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1.2</w:t>
      </w:r>
      <w:r>
        <w:rPr>
          <w:rFonts w:hint="eastAsia" w:ascii="Times New Roman" w:hAnsi="Times New Roman" w:cs="Times New Roman" w:eastAsiaTheme="minorEastAsia"/>
          <w:b/>
          <w:sz w:val="28"/>
          <w:szCs w:val="28"/>
          <w:lang w:val="en-US" w:eastAsia="zh-CN"/>
        </w:rPr>
        <w:t xml:space="preserve"> 项目</w:t>
      </w:r>
      <w:r>
        <w:rPr>
          <w:rFonts w:hint="default" w:ascii="Times New Roman" w:hAnsi="Times New Roman" w:cs="Times New Roman" w:eastAsiaTheme="minorEastAsia"/>
          <w:b/>
          <w:sz w:val="28"/>
          <w:szCs w:val="28"/>
          <w:lang w:val="en-US" w:eastAsia="zh-CN"/>
        </w:rPr>
        <w:t>施工简况</w:t>
      </w:r>
      <w:r>
        <w:rPr>
          <w:rFonts w:hint="eastAsia" w:ascii="Times New Roman" w:hAnsi="Times New Roman" w:cs="Times New Roman" w:eastAsiaTheme="minorEastAsia"/>
          <w:b/>
          <w:sz w:val="28"/>
          <w:szCs w:val="28"/>
          <w:lang w:val="en-US" w:eastAsia="zh-CN"/>
        </w:rPr>
        <w:t xml:space="preserve"> </w:t>
      </w:r>
    </w:p>
    <w:p w14:paraId="092A491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本项目已将环境保护设施纳入了施工合同，环境保护设施的建设进度和资金得到了保证，项目建设过程中组织实施了环境影响报告表及其审批部门审批决定中提出的环境保护对策措施。</w:t>
      </w:r>
    </w:p>
    <w:p w14:paraId="3AF6AE18">
      <w:pPr>
        <w:keepNext w:val="0"/>
        <w:keepLines w:val="0"/>
        <w:pageBreakBefore w:val="0"/>
        <w:kinsoku/>
        <w:wordWrap/>
        <w:overflowPunct/>
        <w:topLinePunct w:val="0"/>
        <w:bidi w:val="0"/>
        <w:spacing w:line="560" w:lineRule="exact"/>
        <w:ind w:firstLine="560"/>
        <w:textAlignment w:val="auto"/>
        <w:outlineLvl w:val="9"/>
        <w:rPr>
          <w:rFonts w:hint="eastAsia"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1.3</w:t>
      </w:r>
      <w:r>
        <w:rPr>
          <w:rFonts w:hint="eastAsia" w:ascii="Times New Roman" w:hAnsi="Times New Roman" w:cs="Times New Roman" w:eastAsiaTheme="minorEastAsia"/>
          <w:b/>
          <w:sz w:val="28"/>
          <w:szCs w:val="28"/>
          <w:lang w:val="en-US" w:eastAsia="zh-CN"/>
        </w:rPr>
        <w:t xml:space="preserve"> 项目</w:t>
      </w:r>
      <w:r>
        <w:rPr>
          <w:rFonts w:hint="default" w:ascii="Times New Roman" w:hAnsi="Times New Roman" w:cs="Times New Roman" w:eastAsiaTheme="minorEastAsia"/>
          <w:b/>
          <w:sz w:val="28"/>
          <w:szCs w:val="28"/>
          <w:lang w:val="en-US" w:eastAsia="zh-CN"/>
        </w:rPr>
        <w:t>验收过程简况</w:t>
      </w:r>
      <w:r>
        <w:rPr>
          <w:rFonts w:hint="eastAsia" w:ascii="Times New Roman" w:hAnsi="Times New Roman" w:cs="Times New Roman" w:eastAsiaTheme="minorEastAsia"/>
          <w:b/>
          <w:sz w:val="28"/>
          <w:szCs w:val="28"/>
          <w:lang w:val="en-US" w:eastAsia="zh-CN"/>
        </w:rPr>
        <w:t xml:space="preserve"> </w:t>
      </w:r>
    </w:p>
    <w:p w14:paraId="35F263DD">
      <w:pPr>
        <w:widowControl w:val="0"/>
        <w:spacing w:line="360" w:lineRule="auto"/>
        <w:ind w:firstLine="480" w:firstLineChars="200"/>
        <w:jc w:val="left"/>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茌平信源环保建材有限公司，成立于2017年，位于山东省聊城市</w:t>
      </w:r>
      <w:r>
        <w:rPr>
          <w:rFonts w:hint="eastAsia" w:ascii="Times New Roman" w:hAnsi="Times New Roman"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是一家以非金属矿物制品业为主的企业。建设项目为《茌平信源环保建材有限公司脱硫石膏资源综合利用扩建项目》，项目位于山东省聊城市茌平区信发街道济邯铁路北，老105国道西（东经116度12分50.243秒，北纬36度36分40.540秒），项目占地面积14674平方米（土地性质为工业用地）。本项目为扩建项目，对现有年产200万吨脱硫石膏资源综合利用项目进行技术改造并扩建5条生产线，根据设备生产企业提供的技术参数，圆盘干燥机（SDK-370D）生产能力为24t/h（干料），流化煅烧炉（SGF3443）生产能力为40t/h（干料）为控制产能的主要生产设备。项目年工作时间为</w:t>
      </w:r>
      <w:r>
        <w:rPr>
          <w:rFonts w:hint="eastAsia" w:ascii="Times New Roman" w:hAnsi="Times New Roman" w:eastAsia="宋体" w:cs="Times New Roman"/>
          <w:color w:val="0000FF"/>
          <w:sz w:val="24"/>
          <w:szCs w:val="24"/>
          <w:highlight w:val="none"/>
          <w:lang w:val="en-US" w:eastAsia="zh-CN"/>
        </w:rPr>
        <w:t>7192</w:t>
      </w:r>
      <w:r>
        <w:rPr>
          <w:rFonts w:hint="eastAsia" w:ascii="Times New Roman" w:hAnsi="Times New Roman" w:eastAsia="宋体" w:cs="Times New Roman"/>
          <w:color w:val="auto"/>
          <w:sz w:val="24"/>
          <w:szCs w:val="24"/>
          <w:highlight w:val="none"/>
          <w:lang w:eastAsia="zh-CN"/>
        </w:rPr>
        <w:t>h，经改扩建后，项目可实现新增年产95万吨建筑石膏粉的生产能力。本项目改造在原有车间内完成，不新增占地及建筑物。新增5条生产线，主要购置变频器、换热器管排、余热回收装置、链式清扫器、斗式提升机、煅烧炉、圆盘干燥机、球磨机、伸缩皮带机、密集辊皮带机、除铁器及成品仓等生产和辅助设备共计180台（套），项目建成后可实现新增年产95万吨建筑石膏粉的生产能力</w:t>
      </w:r>
      <w:r>
        <w:rPr>
          <w:rFonts w:hint="eastAsia" w:ascii="Times New Roman" w:hAnsi="Times New Roman" w:eastAsia="宋体" w:cs="Times New Roman"/>
          <w:color w:val="auto"/>
          <w:sz w:val="24"/>
          <w:szCs w:val="24"/>
          <w:highlight w:val="none"/>
          <w:lang w:val="en-US" w:eastAsia="zh-CN"/>
        </w:rPr>
        <w:t>。</w:t>
      </w:r>
    </w:p>
    <w:p w14:paraId="0E779E2A">
      <w:pPr>
        <w:widowControl w:val="0"/>
        <w:spacing w:line="360" w:lineRule="auto"/>
        <w:ind w:firstLine="480" w:firstLineChars="200"/>
        <w:jc w:val="left"/>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2024年5月，茌平信源环保建材有限公司委托山东民通环境安全科技有限公司编制《茌平信源环保建材有限公司脱硫石膏资源综合利用扩建项目环境影响报告表》，2024年6月25日聊城市茌平区行政审批服务局以聊茌行审环管〔2024〕66号文对该项目进行了批复</w:t>
      </w:r>
      <w:r>
        <w:rPr>
          <w:rFonts w:ascii="Times New Roman" w:hAnsi="Times New Roman" w:eastAsia="宋体"/>
          <w:color w:val="auto"/>
          <w:sz w:val="24"/>
          <w:szCs w:val="24"/>
          <w:highlight w:val="none"/>
        </w:rPr>
        <w:t>。</w:t>
      </w:r>
    </w:p>
    <w:p w14:paraId="32A00A2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eastAsia="宋体" w:cs="Times New Roman"/>
          <w:color w:val="auto"/>
          <w:sz w:val="24"/>
          <w:szCs w:val="24"/>
          <w:highlight w:val="none"/>
          <w:lang w:val="en-US" w:eastAsia="zh-CN"/>
        </w:rPr>
        <w:t>2024年12月，茌平信源环保建材有限公司委托山东玖玺环保科技有限公司于</w:t>
      </w:r>
      <w:r>
        <w:rPr>
          <w:rFonts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lang w:val="en-US" w:eastAsia="zh-CN"/>
        </w:rPr>
        <w:t>4</w:t>
      </w:r>
      <w:r>
        <w:rPr>
          <w:rFonts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12</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18</w:t>
      </w:r>
      <w:r>
        <w:rPr>
          <w:rFonts w:ascii="Times New Roman" w:hAnsi="Times New Roman" w:eastAsia="宋体" w:cs="Times New Roman"/>
          <w:color w:val="auto"/>
          <w:sz w:val="24"/>
          <w:szCs w:val="24"/>
          <w:highlight w:val="none"/>
        </w:rPr>
        <w:t>日、</w:t>
      </w:r>
      <w:r>
        <w:rPr>
          <w:rFonts w:hint="eastAsia" w:ascii="Times New Roman" w:hAnsi="Times New Roman" w:eastAsia="宋体" w:cs="Times New Roman"/>
          <w:color w:val="auto"/>
          <w:sz w:val="24"/>
          <w:szCs w:val="24"/>
          <w:highlight w:val="none"/>
          <w:lang w:val="en-US" w:eastAsia="zh-CN"/>
        </w:rPr>
        <w:t>12</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19</w:t>
      </w:r>
      <w:r>
        <w:rPr>
          <w:rFonts w:ascii="Times New Roman" w:hAnsi="Times New Roman" w:eastAsia="宋体" w:cs="Times New Roman"/>
          <w:color w:val="auto"/>
          <w:sz w:val="24"/>
          <w:szCs w:val="24"/>
          <w:highlight w:val="none"/>
        </w:rPr>
        <w:t>日</w:t>
      </w:r>
      <w:r>
        <w:rPr>
          <w:rFonts w:hint="eastAsia" w:ascii="Times New Roman" w:hAnsi="Times New Roman" w:eastAsia="宋体" w:cs="Times New Roman"/>
          <w:color w:val="auto"/>
          <w:sz w:val="24"/>
          <w:szCs w:val="24"/>
          <w:highlight w:val="none"/>
          <w:lang w:val="en-US" w:eastAsia="zh-CN"/>
        </w:rPr>
        <w:t>、12</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20</w:t>
      </w:r>
      <w:r>
        <w:rPr>
          <w:rFonts w:ascii="Times New Roman" w:hAnsi="Times New Roman" w:eastAsia="宋体" w:cs="Times New Roman"/>
          <w:color w:val="auto"/>
          <w:sz w:val="24"/>
          <w:szCs w:val="24"/>
          <w:highlight w:val="none"/>
        </w:rPr>
        <w:t>日</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12</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21</w:t>
      </w:r>
      <w:r>
        <w:rPr>
          <w:rFonts w:ascii="Times New Roman" w:hAnsi="Times New Roman" w:eastAsia="宋体" w:cs="Times New Roman"/>
          <w:color w:val="auto"/>
          <w:sz w:val="24"/>
          <w:szCs w:val="24"/>
          <w:highlight w:val="none"/>
        </w:rPr>
        <w:t>日</w:t>
      </w:r>
      <w:r>
        <w:rPr>
          <w:rFonts w:hint="eastAsia" w:ascii="Times New Roman" w:hAnsi="Times New Roman" w:eastAsia="宋体" w:cs="Times New Roman"/>
          <w:color w:val="auto"/>
          <w:sz w:val="24"/>
          <w:szCs w:val="24"/>
          <w:highlight w:val="none"/>
          <w:lang w:val="en-US" w:eastAsia="zh-CN"/>
        </w:rPr>
        <w:t>对茌平信源环保建材有限公司脱硫石膏资源综合利用扩建项目进行了验收检测。后对检测数据进行分析论证，在此基础上完成了项目竣工环境保护验收监测报告表的编制。本次项目验收范围为茌平信源环保建材有限公司年产95万吨脱硫石膏资源综合利用扩建项目。</w:t>
      </w:r>
      <w:r>
        <w:rPr>
          <w:rFonts w:hint="eastAsia" w:ascii="Times New Roman" w:hAnsi="Times New Roman" w:eastAsia="宋体"/>
          <w:color w:val="auto"/>
          <w:sz w:val="24"/>
          <w:szCs w:val="24"/>
          <w:highlight w:val="none"/>
        </w:rPr>
        <w:t>202</w:t>
      </w:r>
      <w:r>
        <w:rPr>
          <w:rFonts w:hint="eastAsia" w:ascii="Times New Roman" w:hAnsi="Times New Roman" w:eastAsia="宋体"/>
          <w:color w:val="auto"/>
          <w:sz w:val="24"/>
          <w:szCs w:val="24"/>
          <w:highlight w:val="none"/>
          <w:lang w:val="en-US" w:eastAsia="zh-CN"/>
        </w:rPr>
        <w:t>5</w:t>
      </w:r>
      <w:r>
        <w:rPr>
          <w:rFonts w:hint="eastAsia" w:ascii="Times New Roman" w:hAnsi="Times New Roman" w:eastAsia="宋体"/>
          <w:color w:val="auto"/>
          <w:sz w:val="24"/>
          <w:szCs w:val="24"/>
          <w:highlight w:val="none"/>
        </w:rPr>
        <w:t>年</w:t>
      </w:r>
      <w:r>
        <w:rPr>
          <w:rFonts w:hint="eastAsia" w:ascii="Times New Roman" w:hAnsi="Times New Roman" w:eastAsia="宋体"/>
          <w:color w:val="auto"/>
          <w:sz w:val="24"/>
          <w:szCs w:val="24"/>
          <w:highlight w:val="none"/>
          <w:lang w:val="en-US" w:eastAsia="zh-CN"/>
        </w:rPr>
        <w:t>01</w:t>
      </w:r>
      <w:r>
        <w:rPr>
          <w:rFonts w:hint="eastAsia" w:ascii="Times New Roman" w:hAnsi="Times New Roman" w:eastAsia="宋体"/>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茌平信源环保建材有限公司委托山东玖玺环保科技有限公司对茌平信源环保建材有限公司脱硫石膏资源综合利用扩建项目进行自主验收并验收通过。202</w:t>
      </w:r>
      <w:r>
        <w:rPr>
          <w:rFonts w:hint="eastAsia" w:ascii="Times New Roman" w:hAnsi="Times New Roman"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val="en-US" w:eastAsia="zh-CN"/>
        </w:rPr>
        <w:t>年</w:t>
      </w:r>
      <w:r>
        <w:rPr>
          <w:rFonts w:hint="eastAsia" w:ascii="Times New Roman" w:hAnsi="Times New Roman" w:cs="Times New Roman"/>
          <w:color w:val="auto"/>
          <w:sz w:val="24"/>
          <w:szCs w:val="24"/>
          <w:highlight w:val="none"/>
          <w:lang w:val="en-US" w:eastAsia="zh-CN"/>
        </w:rPr>
        <w:t>01</w:t>
      </w:r>
      <w:r>
        <w:rPr>
          <w:rFonts w:hint="eastAsia" w:ascii="Times New Roman" w:hAnsi="Times New Roman" w:eastAsia="宋体" w:cs="Times New Roman"/>
          <w:color w:val="auto"/>
          <w:sz w:val="24"/>
          <w:szCs w:val="24"/>
          <w:highlight w:val="none"/>
          <w:lang w:val="en-US" w:eastAsia="zh-CN"/>
        </w:rPr>
        <w:t>月</w:t>
      </w:r>
      <w:r>
        <w:rPr>
          <w:rFonts w:hint="eastAsia" w:ascii="Times New Roman" w:hAnsi="Times New Roman" w:cs="Times New Roman"/>
          <w:color w:val="0000FF"/>
          <w:sz w:val="24"/>
          <w:szCs w:val="24"/>
          <w:highlight w:val="none"/>
          <w:lang w:val="en-US" w:eastAsia="zh-CN"/>
        </w:rPr>
        <w:t>12</w:t>
      </w:r>
      <w:r>
        <w:rPr>
          <w:rFonts w:hint="eastAsia" w:ascii="Times New Roman" w:hAnsi="Times New Roman" w:eastAsia="宋体" w:cs="Times New Roman"/>
          <w:color w:val="auto"/>
          <w:sz w:val="24"/>
          <w:szCs w:val="24"/>
          <w:highlight w:val="none"/>
          <w:lang w:val="en-US" w:eastAsia="zh-CN"/>
        </w:rPr>
        <w:t>日，茌平信源环保建材有限公司组织召开了茌平信源环保建材有限公司脱硫石膏资源综合利用扩建项目竣工环境保护验收现场检查会并会议通过。</w:t>
      </w:r>
    </w:p>
    <w:p w14:paraId="7BF93B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验收结论为：茌平信源环保建材有限公司在项目实施过程中按照环评及其批复要求落实了相关环保措施，项目建设过程未发生重大变动；验收监测的污染物排放达到国家相关排放标准，验收报告不存在重大质量缺陷。鉴于项目基本符合验收条件，不存在《建设项目竣工环境保护验收暂行办法》中所规定的验收不合格情形</w:t>
      </w:r>
      <w:r>
        <w:rPr>
          <w:rFonts w:hint="eastAsia" w:ascii="Times New Roman" w:hAnsi="Times New Roman" w:cs="Times New Roman" w:eastAsiaTheme="minorEastAsia"/>
          <w:sz w:val="24"/>
          <w:szCs w:val="24"/>
          <w:highlight w:val="none"/>
          <w:lang w:val="en-US" w:eastAsia="zh-CN"/>
        </w:rPr>
        <w:t>，于2025年01月12</w:t>
      </w:r>
      <w:bookmarkStart w:id="0" w:name="_GoBack"/>
      <w:bookmarkEnd w:id="0"/>
      <w:r>
        <w:rPr>
          <w:rFonts w:hint="eastAsia" w:ascii="Times New Roman" w:hAnsi="Times New Roman" w:cs="Times New Roman" w:eastAsiaTheme="minorEastAsia"/>
          <w:sz w:val="24"/>
          <w:szCs w:val="24"/>
          <w:highlight w:val="none"/>
          <w:lang w:val="en-US" w:eastAsia="zh-CN"/>
        </w:rPr>
        <w:t>日验收</w:t>
      </w:r>
      <w:r>
        <w:rPr>
          <w:rFonts w:hint="eastAsia" w:ascii="Times New Roman" w:hAnsi="Times New Roman" w:cs="Times New Roman" w:eastAsiaTheme="minorEastAsia"/>
          <w:sz w:val="24"/>
          <w:szCs w:val="24"/>
          <w:lang w:val="en-US" w:eastAsia="zh-CN"/>
        </w:rPr>
        <w:t>工作组原则上同意该项目环保设施通过环保验收。</w:t>
      </w:r>
    </w:p>
    <w:p w14:paraId="322581A2">
      <w:pPr>
        <w:keepNext w:val="0"/>
        <w:keepLines w:val="0"/>
        <w:pageBreakBefore w:val="0"/>
        <w:kinsoku/>
        <w:wordWrap/>
        <w:overflowPunct/>
        <w:topLinePunct w:val="0"/>
        <w:bidi w:val="0"/>
        <w:spacing w:line="560" w:lineRule="exact"/>
        <w:ind w:firstLine="560"/>
        <w:textAlignment w:val="auto"/>
        <w:outlineLvl w:val="9"/>
        <w:rPr>
          <w:rFonts w:hint="eastAsia" w:ascii="Times New Roman" w:hAnsi="Times New Roman" w:cs="Times New Roman" w:eastAsiaTheme="minorEastAsia"/>
          <w:b/>
          <w:sz w:val="28"/>
          <w:szCs w:val="28"/>
          <w:lang w:val="en-US" w:eastAsia="zh-CN"/>
        </w:rPr>
      </w:pPr>
      <w:r>
        <w:rPr>
          <w:rFonts w:hint="eastAsia" w:ascii="Times New Roman" w:hAnsi="Times New Roman" w:cs="Times New Roman" w:eastAsiaTheme="minorEastAsia"/>
          <w:b/>
          <w:sz w:val="28"/>
          <w:szCs w:val="28"/>
          <w:lang w:val="en-US" w:eastAsia="zh-CN"/>
        </w:rPr>
        <w:t xml:space="preserve">1.4 公众反馈意见及处理情况 </w:t>
      </w:r>
    </w:p>
    <w:p w14:paraId="1609FF5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建设项目设计、施工和验收期间未收到过公众反馈意见或投诉、反馈或投诉的内容。</w:t>
      </w:r>
    </w:p>
    <w:p w14:paraId="322D57DF">
      <w:pPr>
        <w:keepNext w:val="0"/>
        <w:keepLines w:val="0"/>
        <w:pageBreakBefore w:val="0"/>
        <w:kinsoku/>
        <w:wordWrap/>
        <w:overflowPunct/>
        <w:topLinePunct w:val="0"/>
        <w:bidi w:val="0"/>
        <w:spacing w:line="560" w:lineRule="exact"/>
        <w:textAlignment w:val="auto"/>
        <w:outlineLvl w:val="9"/>
        <w:rPr>
          <w:rFonts w:hint="eastAsia"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2</w:t>
      </w:r>
      <w:r>
        <w:rPr>
          <w:rFonts w:hint="eastAsia" w:ascii="Times New Roman" w:hAnsi="Times New Roman" w:cs="Times New Roman" w:eastAsiaTheme="minorEastAsia"/>
          <w:b/>
          <w:sz w:val="28"/>
          <w:szCs w:val="28"/>
          <w:lang w:val="en-US" w:eastAsia="zh-CN"/>
        </w:rPr>
        <w:t xml:space="preserve"> </w:t>
      </w:r>
      <w:r>
        <w:rPr>
          <w:rFonts w:hint="default" w:ascii="Times New Roman" w:hAnsi="Times New Roman" w:cs="Times New Roman" w:eastAsiaTheme="minorEastAsia"/>
          <w:b/>
          <w:sz w:val="28"/>
          <w:szCs w:val="28"/>
          <w:lang w:val="en-US" w:eastAsia="zh-CN"/>
        </w:rPr>
        <w:t>其他环境保护措施的实施情况</w:t>
      </w:r>
      <w:r>
        <w:rPr>
          <w:rFonts w:hint="eastAsia" w:ascii="Times New Roman" w:hAnsi="Times New Roman" w:cs="Times New Roman" w:eastAsiaTheme="minorEastAsia"/>
          <w:b/>
          <w:sz w:val="28"/>
          <w:szCs w:val="28"/>
          <w:lang w:val="en-US" w:eastAsia="zh-CN"/>
        </w:rPr>
        <w:t xml:space="preserve"> </w:t>
      </w:r>
    </w:p>
    <w:p w14:paraId="1C1A3A1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环境影响报告书（表）及其审批部门审批决定中提出的，除环境保护设施外的其他环境保护措施，主要包括制度措施和配套措施等，现将需要说明的措施内容和要求梳理如下：</w:t>
      </w:r>
    </w:p>
    <w:p w14:paraId="4BFDC137">
      <w:pPr>
        <w:keepNext w:val="0"/>
        <w:keepLines w:val="0"/>
        <w:pageBreakBefore w:val="0"/>
        <w:kinsoku/>
        <w:wordWrap/>
        <w:overflowPunct/>
        <w:topLinePunct w:val="0"/>
        <w:bidi w:val="0"/>
        <w:spacing w:line="560" w:lineRule="exact"/>
        <w:ind w:firstLine="560"/>
        <w:textAlignment w:val="auto"/>
        <w:outlineLvl w:val="9"/>
        <w:rPr>
          <w:rFonts w:hint="eastAsia"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2.1</w:t>
      </w:r>
      <w:r>
        <w:rPr>
          <w:rFonts w:hint="eastAsia" w:ascii="Times New Roman" w:hAnsi="Times New Roman" w:cs="Times New Roman" w:eastAsiaTheme="minorEastAsia"/>
          <w:b/>
          <w:sz w:val="28"/>
          <w:szCs w:val="28"/>
          <w:lang w:val="en-US" w:eastAsia="zh-CN"/>
        </w:rPr>
        <w:t xml:space="preserve"> </w:t>
      </w:r>
      <w:r>
        <w:rPr>
          <w:rFonts w:hint="default" w:ascii="Times New Roman" w:hAnsi="Times New Roman" w:cs="Times New Roman" w:eastAsiaTheme="minorEastAsia"/>
          <w:b/>
          <w:sz w:val="28"/>
          <w:szCs w:val="28"/>
          <w:lang w:val="en-US" w:eastAsia="zh-CN"/>
        </w:rPr>
        <w:t>制度措施落实情况</w:t>
      </w:r>
      <w:r>
        <w:rPr>
          <w:rFonts w:hint="eastAsia" w:ascii="Times New Roman" w:hAnsi="Times New Roman" w:cs="Times New Roman" w:eastAsiaTheme="minorEastAsia"/>
          <w:b/>
          <w:sz w:val="28"/>
          <w:szCs w:val="28"/>
          <w:lang w:val="en-US" w:eastAsia="zh-CN"/>
        </w:rPr>
        <w:t xml:space="preserve"> </w:t>
      </w:r>
    </w:p>
    <w:p w14:paraId="77E885E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（1）环保组织机构及规章制度</w:t>
      </w:r>
    </w:p>
    <w:p w14:paraId="063CEF7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本公司己建立环保组织机构及规章制度。本公司成立了环境保护工作组</w:t>
      </w:r>
      <w:r>
        <w:rPr>
          <w:rFonts w:hint="eastAsia" w:ascii="Times New Roman" w:hAnsi="Times New Roman" w:cs="Times New Roman" w:eastAsiaTheme="minorEastAsia"/>
          <w:sz w:val="24"/>
          <w:szCs w:val="24"/>
          <w:lang w:val="en-US" w:eastAsia="zh-CN"/>
        </w:rPr>
        <w:t>：</w:t>
      </w:r>
    </w:p>
    <w:p w14:paraId="56806DC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组长</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负责企业环保全面工作，是企业环保的第一责任人。</w:t>
      </w:r>
    </w:p>
    <w:p w14:paraId="04C7BAF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副组长</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负责企业环保工作的日常监督管理，负责环保相关信息搜索、培训、宣传及执行；保卫科负责厂区环境安全卫生的日常维护；负责车间生产环境卫生的控制，负责车间用电的控制；负责相关环保设备设施的维护及日常运转。负责固废的外运和处理及必要的环保设备的购置。</w:t>
      </w:r>
    </w:p>
    <w:p w14:paraId="73ABA46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本公司针对各项环保设施制订了运行维护管理制度、设施操作规程。</w:t>
      </w:r>
    </w:p>
    <w:p w14:paraId="536EE04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（2）环境风险防范措施</w:t>
      </w:r>
    </w:p>
    <w:p w14:paraId="09DE005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①制定《危险废物管理制度》，安排专人负责管理、巡查危险废物储存容器，避免容器破损发生泄漏事故。按国家有关规定设置必要的安全卫生设施。</w:t>
      </w:r>
    </w:p>
    <w:p w14:paraId="5666C23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eastAsia="宋体" w:cs="Times New Roman"/>
          <w:sz w:val="24"/>
          <w:szCs w:val="24"/>
          <w:highlight w:val="none"/>
          <w:lang w:val="en-US" w:eastAsia="zh-CN"/>
        </w:rPr>
      </w:pPr>
      <w:r>
        <w:rPr>
          <w:rFonts w:hint="eastAsia" w:ascii="Times New Roman" w:hAnsi="Times New Roman" w:cs="Times New Roman"/>
          <w:sz w:val="24"/>
          <w:szCs w:val="24"/>
          <w:highlight w:val="none"/>
          <w:lang w:val="en-US" w:eastAsia="zh-CN"/>
        </w:rPr>
        <w:t>②</w:t>
      </w:r>
      <w:r>
        <w:rPr>
          <w:rFonts w:hint="default" w:ascii="Times New Roman" w:hAnsi="Times New Roman" w:eastAsia="宋体" w:cs="Times New Roman"/>
          <w:sz w:val="24"/>
          <w:szCs w:val="24"/>
          <w:highlight w:val="none"/>
          <w:lang w:val="en-US" w:eastAsia="zh-CN"/>
        </w:rPr>
        <w:t>危废暂存间内建设裙脚，地面与裙脚用坚固的防渗材料建造，或设置防渗漏、</w:t>
      </w:r>
    </w:p>
    <w:p w14:paraId="5CD854DD">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防腐托盘，能保证液体危险废物泄漏后全部围堵在危废间内，不向外扩散。</w:t>
      </w:r>
    </w:p>
    <w:p w14:paraId="0683F22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③成立专门的责任机构，保证事故发生时组织相关力量及时控制事故的危害，在第一时间，有序有效地控制事故污染，把事故危害减小到最少。</w:t>
      </w:r>
    </w:p>
    <w:p w14:paraId="27D350F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④健全各项制度，强化安全管理意识，禁止烟火，落实各项安全措施，可有效避免环境风险事故发生，加强用电设备及线路的检修和管理。</w:t>
      </w:r>
    </w:p>
    <w:p w14:paraId="228D535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⑤严格按照消防安全部门要求，配备相关的应急设施、设备、器材和材料：在生产、办公区配备适当数量的手提式或悬挂式干粉、泡沫灭火器，用于扑灭初期火源。</w:t>
      </w:r>
    </w:p>
    <w:p w14:paraId="378DF3E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⑥制定切实可行的环境风险应急预案及风险管理制度。</w:t>
      </w:r>
    </w:p>
    <w:p w14:paraId="6F12E5B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⑦加强人员的培训和事故应急演练。加强各相关部门之间的联系，一旦出现环境风险事故，马上联系各相关部门，迅速做出反应。</w:t>
      </w:r>
    </w:p>
    <w:p w14:paraId="7987AAF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⑧如火势较大时，迅速成立火灾应急小组，第一时间拨打“</w:t>
      </w:r>
      <w:r>
        <w:rPr>
          <w:rFonts w:hint="default" w:ascii="Times New Roman" w:hAnsi="Times New Roman" w:eastAsia="宋体" w:cs="Times New Roman"/>
          <w:sz w:val="24"/>
          <w:szCs w:val="24"/>
          <w:highlight w:val="none"/>
          <w:lang w:val="en-US" w:eastAsia="zh-CN"/>
        </w:rPr>
        <w:t>119</w:t>
      </w:r>
      <w:r>
        <w:rPr>
          <w:rFonts w:hint="eastAsia" w:ascii="Times New Roman" w:hAnsi="Times New Roman" w:eastAsia="宋体" w:cs="Times New Roman"/>
          <w:sz w:val="24"/>
          <w:szCs w:val="24"/>
          <w:highlight w:val="none"/>
          <w:lang w:val="en-US" w:eastAsia="zh-CN"/>
        </w:rPr>
        <w:t xml:space="preserve">”火警电话报警， </w:t>
      </w:r>
    </w:p>
    <w:p w14:paraId="387ED426">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default" w:ascii="Times New Roman" w:hAnsi="Times New Roman" w:eastAsia="宋体" w:cs="Times New Roman"/>
          <w:sz w:val="24"/>
          <w:szCs w:val="24"/>
          <w:highlight w:val="yellow"/>
          <w:lang w:val="en-US" w:eastAsia="zh-CN"/>
        </w:rPr>
      </w:pPr>
      <w:r>
        <w:rPr>
          <w:rFonts w:hint="eastAsia" w:ascii="Times New Roman" w:hAnsi="Times New Roman" w:eastAsia="宋体" w:cs="Times New Roman"/>
          <w:sz w:val="24"/>
          <w:szCs w:val="24"/>
          <w:highlight w:val="none"/>
          <w:lang w:val="en-US" w:eastAsia="zh-CN"/>
        </w:rPr>
        <w:t>同时组织火场人员按疏散路线撤离至安全地带；对于电气线路也应绝对安全可靠，防止短路起火等，确保安全生产。</w:t>
      </w:r>
    </w:p>
    <w:p w14:paraId="59E3EBF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（3）应急预案</w:t>
      </w:r>
    </w:p>
    <w:p w14:paraId="793137E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highlight w:val="none"/>
          <w:lang w:val="en-US" w:eastAsia="zh-CN"/>
        </w:rPr>
      </w:pPr>
      <w:r>
        <w:rPr>
          <w:rFonts w:hint="default" w:ascii="Times New Roman" w:hAnsi="Times New Roman" w:eastAsia="宋体" w:cs="Times New Roman"/>
          <w:sz w:val="24"/>
          <w:szCs w:val="24"/>
          <w:highlight w:val="none"/>
          <w:lang w:val="en-US" w:eastAsia="zh-CN"/>
        </w:rPr>
        <w:t>本次评价以《建设项目环境风险评价技术导则》</w:t>
      </w:r>
      <w:r>
        <w:rPr>
          <w:rFonts w:hint="eastAsia" w:ascii="Times New Roman" w:hAnsi="Times New Roman"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HJ/T169-2018</w:t>
      </w:r>
      <w:r>
        <w:rPr>
          <w:rFonts w:hint="eastAsia" w:ascii="Times New Roman" w:hAnsi="Times New Roman"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为指导，结合《国家突发环境事件应急预案》和《环境污染事故应急预案编制技术指南》相关规定，制定出本项目环境风险应急预案，建设单位必须在此基础上制定更为详细的应急预案及演练计划，同时本项目的环境应急预案应与项目区的环境应急预案相衔接。经采取以上措施后，能够减轻项目润滑油泄漏对周围大气、土壤环境影响。</w:t>
      </w:r>
    </w:p>
    <w:p w14:paraId="685B913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（3）环境监测计划</w:t>
      </w:r>
    </w:p>
    <w:p w14:paraId="185EDEE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根据环境影响报告书（表）及其审批部门审批决定要求以及《排污单位自行监测技术指南总则》（</w:t>
      </w:r>
      <w:r>
        <w:rPr>
          <w:rFonts w:hint="default" w:ascii="Times New Roman" w:hAnsi="Times New Roman" w:cs="Times New Roman" w:eastAsiaTheme="minorEastAsia"/>
          <w:sz w:val="24"/>
          <w:szCs w:val="24"/>
          <w:lang w:val="en-US" w:eastAsia="zh-CN"/>
        </w:rPr>
        <w:t>HJ 819-2017</w:t>
      </w:r>
      <w:r>
        <w:rPr>
          <w:rFonts w:hint="eastAsia" w:ascii="Times New Roman" w:hAnsi="Times New Roman" w:cs="Times New Roman" w:eastAsiaTheme="minorEastAsia"/>
          <w:sz w:val="24"/>
          <w:szCs w:val="24"/>
          <w:lang w:val="en-US" w:eastAsia="zh-CN"/>
        </w:rPr>
        <w:t xml:space="preserve">）表 </w:t>
      </w:r>
      <w:r>
        <w:rPr>
          <w:rFonts w:hint="default" w:ascii="Times New Roman" w:hAnsi="Times New Roman" w:cs="Times New Roman" w:eastAsiaTheme="minorEastAsia"/>
          <w:sz w:val="24"/>
          <w:szCs w:val="24"/>
          <w:lang w:val="en-US" w:eastAsia="zh-CN"/>
        </w:rPr>
        <w:t xml:space="preserve">1 </w:t>
      </w:r>
      <w:r>
        <w:rPr>
          <w:rFonts w:hint="eastAsia" w:ascii="Times New Roman" w:hAnsi="Times New Roman" w:cs="Times New Roman" w:eastAsiaTheme="minorEastAsia"/>
          <w:sz w:val="24"/>
          <w:szCs w:val="24"/>
          <w:lang w:val="en-US" w:eastAsia="zh-CN"/>
        </w:rPr>
        <w:t xml:space="preserve">非重点排污单位、其他排放口的监测指标自行监测要求，本项目自行监测计划见下表： </w:t>
      </w:r>
    </w:p>
    <w:p w14:paraId="1EF201A3">
      <w:pPr>
        <w:pStyle w:val="2"/>
        <w:rPr>
          <w:rFonts w:hint="default"/>
          <w:lang w:val="en-US" w:eastAsia="zh-CN"/>
        </w:rPr>
      </w:pPr>
    </w:p>
    <w:p w14:paraId="32F6BF9F">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pPr>
      <w:r>
        <w:rPr>
          <w:rFonts w:hint="eastAsia" w:ascii="宋体" w:hAnsi="宋体" w:eastAsia="宋体" w:cs="宋体"/>
          <w:b/>
          <w:bCs/>
          <w:color w:val="000000"/>
          <w:kern w:val="0"/>
          <w:sz w:val="24"/>
          <w:szCs w:val="24"/>
          <w:lang w:val="en-US" w:eastAsia="zh-CN" w:bidi="ar"/>
        </w:rPr>
        <w:t>项目自行监测计划一览表</w:t>
      </w:r>
    </w:p>
    <w:tbl>
      <w:tblPr>
        <w:tblStyle w:val="18"/>
        <w:tblW w:w="868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69"/>
        <w:gridCol w:w="2873"/>
        <w:gridCol w:w="2171"/>
        <w:gridCol w:w="2172"/>
      </w:tblGrid>
      <w:tr w14:paraId="03414A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9" w:type="dxa"/>
            <w:tcBorders>
              <w:tl2br w:val="nil"/>
              <w:tr2bl w:val="nil"/>
            </w:tcBorders>
            <w:vAlign w:val="center"/>
          </w:tcPr>
          <w:p w14:paraId="47962071">
            <w:pPr>
              <w:keepNext w:val="0"/>
              <w:keepLines w:val="0"/>
              <w:widowControl/>
              <w:suppressLineNumbers w:val="0"/>
              <w:jc w:val="center"/>
              <w:rPr>
                <w:rFonts w:hint="default" w:ascii="Times New Roman" w:hAnsi="Times New Roman" w:cs="Times New Roman" w:eastAsiaTheme="minorEastAsia"/>
                <w:sz w:val="24"/>
                <w:szCs w:val="24"/>
                <w:vertAlign w:val="baseline"/>
                <w:lang w:val="en-US" w:eastAsia="zh-CN"/>
              </w:rPr>
            </w:pPr>
            <w:r>
              <w:rPr>
                <w:rFonts w:hint="eastAsia" w:ascii="宋体" w:hAnsi="宋体" w:eastAsia="宋体" w:cs="宋体"/>
                <w:b/>
                <w:bCs/>
                <w:color w:val="000000"/>
                <w:kern w:val="0"/>
                <w:sz w:val="24"/>
                <w:szCs w:val="24"/>
                <w:lang w:val="en-US" w:eastAsia="zh-CN" w:bidi="ar"/>
              </w:rPr>
              <w:t>监测点位</w:t>
            </w:r>
          </w:p>
        </w:tc>
        <w:tc>
          <w:tcPr>
            <w:tcW w:w="2873" w:type="dxa"/>
            <w:tcBorders>
              <w:tl2br w:val="nil"/>
              <w:tr2bl w:val="nil"/>
            </w:tcBorders>
            <w:vAlign w:val="center"/>
          </w:tcPr>
          <w:p w14:paraId="25331526">
            <w:pPr>
              <w:keepNext w:val="0"/>
              <w:keepLines w:val="0"/>
              <w:widowControl/>
              <w:suppressLineNumbers w:val="0"/>
              <w:jc w:val="center"/>
              <w:rPr>
                <w:rFonts w:hint="default" w:ascii="Times New Roman" w:hAnsi="Times New Roman" w:cs="Times New Roman" w:eastAsiaTheme="minorEastAsia"/>
                <w:sz w:val="24"/>
                <w:szCs w:val="24"/>
                <w:vertAlign w:val="baseline"/>
                <w:lang w:val="en-US" w:eastAsia="zh-CN"/>
              </w:rPr>
            </w:pPr>
            <w:r>
              <w:rPr>
                <w:rFonts w:hint="eastAsia" w:ascii="宋体" w:hAnsi="宋体" w:eastAsia="宋体" w:cs="宋体"/>
                <w:b/>
                <w:bCs/>
                <w:color w:val="000000"/>
                <w:kern w:val="0"/>
                <w:sz w:val="24"/>
                <w:szCs w:val="24"/>
                <w:lang w:val="en-US" w:eastAsia="zh-CN" w:bidi="ar"/>
              </w:rPr>
              <w:t>检测因子</w:t>
            </w:r>
          </w:p>
        </w:tc>
        <w:tc>
          <w:tcPr>
            <w:tcW w:w="2171" w:type="dxa"/>
            <w:tcBorders>
              <w:tl2br w:val="nil"/>
              <w:tr2bl w:val="nil"/>
            </w:tcBorders>
            <w:vAlign w:val="center"/>
          </w:tcPr>
          <w:p w14:paraId="473EBF7C">
            <w:pPr>
              <w:keepNext w:val="0"/>
              <w:keepLines w:val="0"/>
              <w:widowControl/>
              <w:suppressLineNumbers w:val="0"/>
              <w:jc w:val="center"/>
              <w:rPr>
                <w:rFonts w:hint="default" w:ascii="Times New Roman" w:hAnsi="Times New Roman" w:cs="Times New Roman" w:eastAsiaTheme="minorEastAsia"/>
                <w:sz w:val="24"/>
                <w:szCs w:val="24"/>
                <w:vertAlign w:val="baseline"/>
                <w:lang w:val="en-US" w:eastAsia="zh-CN"/>
              </w:rPr>
            </w:pPr>
            <w:r>
              <w:rPr>
                <w:rFonts w:hint="eastAsia" w:ascii="宋体" w:hAnsi="宋体" w:eastAsia="宋体" w:cs="宋体"/>
                <w:b/>
                <w:bCs/>
                <w:color w:val="000000"/>
                <w:kern w:val="0"/>
                <w:sz w:val="24"/>
                <w:szCs w:val="24"/>
                <w:lang w:val="en-US" w:eastAsia="zh-CN" w:bidi="ar"/>
              </w:rPr>
              <w:t>监测频次</w:t>
            </w:r>
          </w:p>
        </w:tc>
        <w:tc>
          <w:tcPr>
            <w:tcW w:w="2172" w:type="dxa"/>
            <w:tcBorders>
              <w:tl2br w:val="nil"/>
              <w:tr2bl w:val="nil"/>
            </w:tcBorders>
            <w:vAlign w:val="center"/>
          </w:tcPr>
          <w:p w14:paraId="049BBB25">
            <w:pPr>
              <w:keepNext w:val="0"/>
              <w:keepLines w:val="0"/>
              <w:widowControl/>
              <w:suppressLineNumbers w:val="0"/>
              <w:jc w:val="center"/>
              <w:rPr>
                <w:rFonts w:hint="default" w:ascii="Times New Roman" w:hAnsi="Times New Roman" w:cs="Times New Roman" w:eastAsiaTheme="minorEastAsia"/>
                <w:sz w:val="24"/>
                <w:szCs w:val="24"/>
                <w:vertAlign w:val="baseline"/>
                <w:lang w:val="en-US" w:eastAsia="zh-CN"/>
              </w:rPr>
            </w:pPr>
            <w:r>
              <w:rPr>
                <w:rFonts w:hint="eastAsia" w:ascii="宋体" w:hAnsi="宋体" w:eastAsia="宋体" w:cs="宋体"/>
                <w:b/>
                <w:bCs/>
                <w:color w:val="000000"/>
                <w:kern w:val="0"/>
                <w:sz w:val="24"/>
                <w:szCs w:val="24"/>
                <w:lang w:val="en-US" w:eastAsia="zh-CN" w:bidi="ar"/>
              </w:rPr>
              <w:t>备注</w:t>
            </w:r>
          </w:p>
        </w:tc>
      </w:tr>
      <w:tr w14:paraId="1A9D3B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9" w:type="dxa"/>
            <w:tcBorders>
              <w:tl2br w:val="nil"/>
              <w:tr2bl w:val="nil"/>
            </w:tcBorders>
            <w:vAlign w:val="center"/>
          </w:tcPr>
          <w:p w14:paraId="77E8A15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4"/>
                <w:szCs w:val="24"/>
                <w:vertAlign w:val="baseline"/>
                <w:lang w:val="en-US" w:eastAsia="zh-CN"/>
              </w:rPr>
            </w:pPr>
            <w:r>
              <w:rPr>
                <w:rStyle w:val="35"/>
                <w:rFonts w:hint="eastAsia" w:ascii="Times New Roman" w:hAnsi="Times New Roman" w:cs="Times New Roman"/>
                <w:sz w:val="24"/>
                <w:lang w:val="en-US" w:eastAsia="zh-CN"/>
              </w:rPr>
              <w:t>废气</w:t>
            </w:r>
          </w:p>
        </w:tc>
        <w:tc>
          <w:tcPr>
            <w:tcW w:w="2873" w:type="dxa"/>
            <w:tcBorders>
              <w:tl2br w:val="nil"/>
              <w:tr2bl w:val="nil"/>
            </w:tcBorders>
            <w:vAlign w:val="center"/>
          </w:tcPr>
          <w:p w14:paraId="6444126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eastAsiaTheme="minorEastAsia"/>
                <w:sz w:val="24"/>
                <w:szCs w:val="24"/>
                <w:vertAlign w:val="baseline"/>
                <w:lang w:val="en-US" w:eastAsia="zh-CN"/>
              </w:rPr>
              <w:t>DA004、DA016、DA019~DA030、DA033、DA034（颗粒物）</w:t>
            </w:r>
          </w:p>
        </w:tc>
        <w:tc>
          <w:tcPr>
            <w:tcW w:w="2171" w:type="dxa"/>
            <w:tcBorders>
              <w:tl2br w:val="nil"/>
              <w:tr2bl w:val="nil"/>
            </w:tcBorders>
            <w:vAlign w:val="center"/>
          </w:tcPr>
          <w:p w14:paraId="08E081D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eastAsiaTheme="minorEastAsia"/>
                <w:sz w:val="24"/>
                <w:szCs w:val="24"/>
                <w:vertAlign w:val="baseline"/>
                <w:lang w:val="en-US" w:eastAsia="zh-CN"/>
              </w:rPr>
              <w:t>1次/年</w:t>
            </w:r>
          </w:p>
        </w:tc>
        <w:tc>
          <w:tcPr>
            <w:tcW w:w="2172" w:type="dxa"/>
            <w:tcBorders>
              <w:tl2br w:val="nil"/>
              <w:tr2bl w:val="nil"/>
            </w:tcBorders>
            <w:vAlign w:val="center"/>
          </w:tcPr>
          <w:p w14:paraId="7E78794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eastAsiaTheme="minorEastAsia"/>
                <w:sz w:val="24"/>
                <w:szCs w:val="24"/>
                <w:vertAlign w:val="baseline"/>
                <w:lang w:val="en-US" w:eastAsia="zh-CN"/>
              </w:rPr>
            </w:pPr>
            <w:r>
              <w:rPr>
                <w:rFonts w:hint="eastAsia" w:ascii="Times New Roman" w:hAnsi="Times New Roman" w:cs="Times New Roman" w:eastAsiaTheme="minorEastAsia"/>
                <w:sz w:val="24"/>
                <w:szCs w:val="24"/>
                <w:vertAlign w:val="baseline"/>
                <w:lang w:val="en-US" w:eastAsia="zh-CN"/>
              </w:rPr>
              <w:t>委托检测</w:t>
            </w:r>
          </w:p>
        </w:tc>
      </w:tr>
      <w:tr w14:paraId="79D0F0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9" w:type="dxa"/>
            <w:tcBorders>
              <w:tl2br w:val="nil"/>
              <w:tr2bl w:val="nil"/>
            </w:tcBorders>
            <w:vAlign w:val="center"/>
          </w:tcPr>
          <w:p w14:paraId="2CDAA65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Style w:val="35"/>
                <w:rFonts w:hint="eastAsia" w:ascii="Times New Roman" w:hAnsi="Times New Roman" w:eastAsia="宋体" w:cs="Times New Roman"/>
                <w:sz w:val="24"/>
                <w:lang w:val="en-US" w:eastAsia="zh-CN"/>
              </w:rPr>
            </w:pPr>
            <w:r>
              <w:rPr>
                <w:rStyle w:val="35"/>
                <w:rFonts w:hint="eastAsia" w:ascii="Times New Roman" w:hAnsi="Times New Roman" w:cs="Times New Roman"/>
                <w:sz w:val="24"/>
                <w:lang w:val="en-US" w:eastAsia="zh-CN"/>
              </w:rPr>
              <w:t>厂界</w:t>
            </w:r>
          </w:p>
        </w:tc>
        <w:tc>
          <w:tcPr>
            <w:tcW w:w="2873" w:type="dxa"/>
            <w:tcBorders>
              <w:tl2br w:val="nil"/>
              <w:tr2bl w:val="nil"/>
            </w:tcBorders>
            <w:vAlign w:val="center"/>
          </w:tcPr>
          <w:p w14:paraId="7FFE37B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Style w:val="35"/>
                <w:rFonts w:hint="default" w:ascii="Times New Roman" w:hAnsi="Times New Roman" w:cs="Times New Roman"/>
                <w:sz w:val="24"/>
                <w:lang w:val="en-US" w:eastAsia="zh-CN"/>
              </w:rPr>
            </w:pPr>
            <w:r>
              <w:rPr>
                <w:rStyle w:val="35"/>
                <w:rFonts w:hint="eastAsia" w:ascii="Times New Roman" w:hAnsi="Times New Roman" w:cs="Times New Roman"/>
                <w:sz w:val="24"/>
                <w:lang w:val="en-US" w:eastAsia="zh-CN"/>
              </w:rPr>
              <w:t>颗粒物</w:t>
            </w:r>
          </w:p>
        </w:tc>
        <w:tc>
          <w:tcPr>
            <w:tcW w:w="2171" w:type="dxa"/>
            <w:tcBorders>
              <w:tl2br w:val="nil"/>
              <w:tr2bl w:val="nil"/>
            </w:tcBorders>
            <w:vAlign w:val="center"/>
          </w:tcPr>
          <w:p w14:paraId="6531F33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4"/>
                <w:szCs w:val="24"/>
                <w:vertAlign w:val="baseline"/>
                <w:lang w:val="en-US" w:eastAsia="zh-CN"/>
              </w:rPr>
            </w:pPr>
            <w:r>
              <w:rPr>
                <w:rFonts w:hint="eastAsia" w:ascii="Times New Roman" w:hAnsi="Times New Roman" w:cs="Times New Roman" w:eastAsiaTheme="minorEastAsia"/>
                <w:sz w:val="24"/>
                <w:szCs w:val="24"/>
                <w:vertAlign w:val="baseline"/>
                <w:lang w:val="en-US" w:eastAsia="zh-CN"/>
              </w:rPr>
              <w:t>1次/年</w:t>
            </w:r>
          </w:p>
        </w:tc>
        <w:tc>
          <w:tcPr>
            <w:tcW w:w="2172" w:type="dxa"/>
            <w:tcBorders>
              <w:tl2br w:val="nil"/>
              <w:tr2bl w:val="nil"/>
            </w:tcBorders>
            <w:vAlign w:val="center"/>
          </w:tcPr>
          <w:p w14:paraId="6A23F29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4"/>
                <w:szCs w:val="24"/>
                <w:vertAlign w:val="baseline"/>
                <w:lang w:val="en-US" w:eastAsia="zh-CN"/>
              </w:rPr>
            </w:pPr>
            <w:r>
              <w:rPr>
                <w:rFonts w:hint="eastAsia" w:ascii="Times New Roman" w:hAnsi="Times New Roman" w:cs="Times New Roman" w:eastAsiaTheme="minorEastAsia"/>
                <w:sz w:val="24"/>
                <w:szCs w:val="24"/>
                <w:vertAlign w:val="baseline"/>
                <w:lang w:val="en-US" w:eastAsia="zh-CN"/>
              </w:rPr>
              <w:t>委托检测</w:t>
            </w:r>
          </w:p>
        </w:tc>
      </w:tr>
      <w:tr w14:paraId="5CB17A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9" w:type="dxa"/>
            <w:tcBorders>
              <w:tl2br w:val="nil"/>
              <w:tr2bl w:val="nil"/>
            </w:tcBorders>
            <w:vAlign w:val="center"/>
          </w:tcPr>
          <w:p w14:paraId="3E3CF88A">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Style w:val="35"/>
                <w:rFonts w:hint="default" w:ascii="Times New Roman" w:hAnsi="Times New Roman" w:eastAsia="宋体" w:cs="Times New Roman"/>
                <w:sz w:val="24"/>
                <w:lang w:val="en-US" w:eastAsia="zh-CN"/>
              </w:rPr>
            </w:pPr>
            <w:r>
              <w:rPr>
                <w:rStyle w:val="35"/>
                <w:rFonts w:hint="eastAsia" w:ascii="Times New Roman" w:hAnsi="Times New Roman" w:cs="Times New Roman"/>
                <w:sz w:val="24"/>
                <w:lang w:val="en-US" w:eastAsia="zh-CN"/>
              </w:rPr>
              <w:t>厂界</w:t>
            </w:r>
          </w:p>
        </w:tc>
        <w:tc>
          <w:tcPr>
            <w:tcW w:w="2873" w:type="dxa"/>
            <w:tcBorders>
              <w:tl2br w:val="nil"/>
              <w:tr2bl w:val="nil"/>
            </w:tcBorders>
            <w:vAlign w:val="center"/>
          </w:tcPr>
          <w:p w14:paraId="49F619ED">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Style w:val="35"/>
                <w:rFonts w:hint="eastAsia" w:ascii="Times New Roman" w:hAnsi="Times New Roman" w:cs="Times New Roman"/>
                <w:sz w:val="24"/>
                <w:lang w:val="en-US" w:eastAsia="zh-CN"/>
              </w:rPr>
            </w:pPr>
            <w:r>
              <w:rPr>
                <w:rStyle w:val="35"/>
                <w:rFonts w:hint="eastAsia" w:ascii="Times New Roman" w:hAnsi="Times New Roman" w:cs="Times New Roman"/>
                <w:sz w:val="24"/>
                <w:lang w:val="en-US" w:eastAsia="zh-CN"/>
              </w:rPr>
              <w:t>噪声</w:t>
            </w:r>
            <w:r>
              <w:rPr>
                <w:rStyle w:val="35"/>
                <w:rFonts w:hint="default" w:ascii="Times New Roman" w:hAnsi="Times New Roman" w:eastAsia="宋体" w:cs="Times New Roman"/>
                <w:sz w:val="24"/>
                <w:lang w:val="en-US" w:eastAsia="zh-CN"/>
              </w:rPr>
              <w:t>LeqdB</w:t>
            </w:r>
            <w:r>
              <w:rPr>
                <w:rStyle w:val="35"/>
                <w:rFonts w:hint="eastAsia" w:ascii="Times New Roman" w:hAnsi="Times New Roman" w:eastAsia="宋体" w:cs="Times New Roman"/>
                <w:sz w:val="24"/>
                <w:lang w:val="en-US" w:eastAsia="zh-CN"/>
              </w:rPr>
              <w:t>（</w:t>
            </w:r>
            <w:r>
              <w:rPr>
                <w:rStyle w:val="35"/>
                <w:rFonts w:hint="default" w:ascii="Times New Roman" w:hAnsi="Times New Roman" w:eastAsia="宋体" w:cs="Times New Roman"/>
                <w:sz w:val="24"/>
                <w:lang w:val="en-US" w:eastAsia="zh-CN"/>
              </w:rPr>
              <w:t>A</w:t>
            </w:r>
            <w:r>
              <w:rPr>
                <w:rStyle w:val="35"/>
                <w:rFonts w:hint="eastAsia" w:ascii="Times New Roman" w:hAnsi="Times New Roman" w:eastAsia="宋体" w:cs="Times New Roman"/>
                <w:sz w:val="24"/>
                <w:lang w:val="en-US" w:eastAsia="zh-CN"/>
              </w:rPr>
              <w:t>）</w:t>
            </w:r>
          </w:p>
        </w:tc>
        <w:tc>
          <w:tcPr>
            <w:tcW w:w="2171" w:type="dxa"/>
            <w:tcBorders>
              <w:tl2br w:val="nil"/>
              <w:tr2bl w:val="nil"/>
            </w:tcBorders>
            <w:vAlign w:val="center"/>
          </w:tcPr>
          <w:p w14:paraId="1FF14C6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4"/>
                <w:szCs w:val="24"/>
                <w:vertAlign w:val="baseline"/>
                <w:lang w:val="en-US" w:eastAsia="zh-CN"/>
              </w:rPr>
            </w:pPr>
            <w:r>
              <w:rPr>
                <w:rFonts w:hint="eastAsia" w:ascii="Times New Roman" w:hAnsi="Times New Roman" w:cs="Times New Roman" w:eastAsiaTheme="minorEastAsia"/>
                <w:sz w:val="24"/>
                <w:szCs w:val="24"/>
                <w:vertAlign w:val="baseline"/>
                <w:lang w:val="en-US" w:eastAsia="zh-CN"/>
              </w:rPr>
              <w:t>1次/季</w:t>
            </w:r>
            <w:r>
              <w:rPr>
                <w:rStyle w:val="35"/>
                <w:rFonts w:hint="eastAsia" w:ascii="Times New Roman" w:hAnsi="Times New Roman" w:eastAsia="宋体" w:cs="Times New Roman"/>
                <w:sz w:val="24"/>
                <w:lang w:val="en-US" w:eastAsia="zh-CN"/>
              </w:rPr>
              <w:t>，</w:t>
            </w:r>
            <w:r>
              <w:rPr>
                <w:rStyle w:val="35"/>
                <w:rFonts w:hint="default" w:ascii="Times New Roman" w:hAnsi="Times New Roman" w:eastAsia="宋体" w:cs="Times New Roman"/>
                <w:sz w:val="24"/>
                <w:lang w:val="en-US" w:eastAsia="zh-CN"/>
              </w:rPr>
              <w:t>昼</w:t>
            </w:r>
            <w:r>
              <w:rPr>
                <w:rStyle w:val="35"/>
                <w:rFonts w:hint="eastAsia" w:ascii="Times New Roman" w:hAnsi="Times New Roman" w:eastAsia="宋体" w:cs="Times New Roman"/>
                <w:sz w:val="24"/>
                <w:lang w:val="en-US" w:eastAsia="zh-CN"/>
              </w:rPr>
              <w:t>夜</w:t>
            </w:r>
            <w:r>
              <w:rPr>
                <w:rStyle w:val="35"/>
                <w:rFonts w:hint="default" w:ascii="Times New Roman" w:hAnsi="Times New Roman" w:eastAsia="宋体" w:cs="Times New Roman"/>
                <w:sz w:val="24"/>
                <w:lang w:val="en-US" w:eastAsia="zh-CN"/>
              </w:rPr>
              <w:t>监测</w:t>
            </w:r>
          </w:p>
        </w:tc>
        <w:tc>
          <w:tcPr>
            <w:tcW w:w="2172" w:type="dxa"/>
            <w:tcBorders>
              <w:tl2br w:val="nil"/>
              <w:tr2bl w:val="nil"/>
            </w:tcBorders>
            <w:vAlign w:val="center"/>
          </w:tcPr>
          <w:p w14:paraId="6D0A06C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cs="Times New Roman" w:eastAsiaTheme="minorEastAsia"/>
                <w:sz w:val="24"/>
                <w:szCs w:val="24"/>
                <w:vertAlign w:val="baseline"/>
                <w:lang w:val="en-US" w:eastAsia="zh-CN"/>
              </w:rPr>
            </w:pPr>
            <w:r>
              <w:rPr>
                <w:rFonts w:hint="eastAsia" w:ascii="Times New Roman" w:hAnsi="Times New Roman" w:cs="Times New Roman" w:eastAsiaTheme="minorEastAsia"/>
                <w:sz w:val="24"/>
                <w:szCs w:val="24"/>
                <w:vertAlign w:val="baseline"/>
                <w:lang w:val="en-US" w:eastAsia="zh-CN"/>
              </w:rPr>
              <w:t>委托检测</w:t>
            </w:r>
          </w:p>
        </w:tc>
      </w:tr>
    </w:tbl>
    <w:p w14:paraId="56F28EFE">
      <w:pPr>
        <w:keepNext w:val="0"/>
        <w:keepLines w:val="0"/>
        <w:pageBreakBefore w:val="0"/>
        <w:kinsoku/>
        <w:wordWrap/>
        <w:overflowPunct/>
        <w:topLinePunct w:val="0"/>
        <w:bidi w:val="0"/>
        <w:spacing w:line="560" w:lineRule="exact"/>
        <w:ind w:firstLine="560"/>
        <w:textAlignment w:val="auto"/>
        <w:outlineLvl w:val="9"/>
        <w:rPr>
          <w:rFonts w:hint="default"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2.2</w:t>
      </w:r>
      <w:r>
        <w:rPr>
          <w:rFonts w:hint="eastAsia" w:ascii="Times New Roman" w:hAnsi="Times New Roman" w:cs="Times New Roman" w:eastAsiaTheme="minorEastAsia"/>
          <w:b/>
          <w:sz w:val="28"/>
          <w:szCs w:val="28"/>
          <w:lang w:val="en-US" w:eastAsia="zh-CN"/>
        </w:rPr>
        <w:t xml:space="preserve"> </w:t>
      </w:r>
      <w:r>
        <w:rPr>
          <w:rFonts w:hint="default" w:ascii="Times New Roman" w:hAnsi="Times New Roman" w:cs="Times New Roman" w:eastAsiaTheme="minorEastAsia"/>
          <w:b/>
          <w:sz w:val="28"/>
          <w:szCs w:val="28"/>
          <w:lang w:val="en-US" w:eastAsia="zh-CN"/>
        </w:rPr>
        <w:t>配套措施落实情况</w:t>
      </w:r>
      <w:r>
        <w:rPr>
          <w:rFonts w:hint="eastAsia" w:ascii="Times New Roman" w:hAnsi="Times New Roman" w:cs="Times New Roman" w:eastAsiaTheme="minorEastAsia"/>
          <w:b/>
          <w:sz w:val="28"/>
          <w:szCs w:val="28"/>
          <w:lang w:val="en-US" w:eastAsia="zh-CN"/>
        </w:rPr>
        <w:t xml:space="preserve"> </w:t>
      </w:r>
    </w:p>
    <w:p w14:paraId="3CA10BD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（1）区域削减及淘汰落后产能</w:t>
      </w:r>
    </w:p>
    <w:p w14:paraId="730FACA5">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本公司不涉及区域削减污染物总量措施，所有生产设备中没有需淘汰的落后产能设备。</w:t>
      </w:r>
    </w:p>
    <w:p w14:paraId="2E4E0A4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（2）防护距离控制及居民搬迁</w:t>
      </w:r>
    </w:p>
    <w:p w14:paraId="550367D8">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本项目卫生防护距离内无环境敏感点。</w:t>
      </w:r>
    </w:p>
    <w:p w14:paraId="0D24E142">
      <w:pPr>
        <w:keepNext w:val="0"/>
        <w:keepLines w:val="0"/>
        <w:pageBreakBefore w:val="0"/>
        <w:kinsoku/>
        <w:wordWrap/>
        <w:overflowPunct/>
        <w:topLinePunct w:val="0"/>
        <w:bidi w:val="0"/>
        <w:spacing w:line="560" w:lineRule="exact"/>
        <w:ind w:firstLine="560"/>
        <w:textAlignment w:val="auto"/>
        <w:outlineLvl w:val="9"/>
        <w:rPr>
          <w:rFonts w:hint="eastAsia" w:ascii="Times New Roman" w:hAnsi="Times New Roman" w:cs="Times New Roman" w:eastAsiaTheme="minorEastAsia"/>
          <w:b/>
          <w:sz w:val="28"/>
          <w:szCs w:val="28"/>
          <w:lang w:val="en-US" w:eastAsia="zh-CN"/>
        </w:rPr>
      </w:pPr>
      <w:r>
        <w:rPr>
          <w:rFonts w:hint="eastAsia" w:ascii="Times New Roman" w:hAnsi="Times New Roman" w:cs="Times New Roman" w:eastAsiaTheme="minorEastAsia"/>
          <w:b/>
          <w:sz w:val="28"/>
          <w:szCs w:val="28"/>
          <w:lang w:val="en-US" w:eastAsia="zh-CN"/>
        </w:rPr>
        <w:t xml:space="preserve">2.3 </w:t>
      </w:r>
      <w:r>
        <w:rPr>
          <w:rFonts w:hint="default" w:ascii="Times New Roman" w:hAnsi="Times New Roman" w:cs="Times New Roman" w:eastAsiaTheme="minorEastAsia"/>
          <w:b/>
          <w:sz w:val="28"/>
          <w:szCs w:val="28"/>
          <w:lang w:val="en-US" w:eastAsia="zh-CN"/>
        </w:rPr>
        <w:t>其他措施落实情况</w:t>
      </w:r>
      <w:r>
        <w:rPr>
          <w:rFonts w:hint="eastAsia" w:ascii="Times New Roman" w:hAnsi="Times New Roman" w:cs="Times New Roman" w:eastAsiaTheme="minorEastAsia"/>
          <w:b/>
          <w:sz w:val="28"/>
          <w:szCs w:val="28"/>
          <w:lang w:val="en-US" w:eastAsia="zh-CN"/>
        </w:rPr>
        <w:t xml:space="preserve"> </w:t>
      </w:r>
    </w:p>
    <w:p w14:paraId="1D5D700F">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本项目不涉及林地、珍稀动物保护、区域环境整治、相关外围工程建设情况等。</w:t>
      </w:r>
    </w:p>
    <w:p w14:paraId="3F02C6B0">
      <w:pPr>
        <w:keepNext w:val="0"/>
        <w:keepLines w:val="0"/>
        <w:pageBreakBefore w:val="0"/>
        <w:kinsoku/>
        <w:wordWrap/>
        <w:overflowPunct/>
        <w:topLinePunct w:val="0"/>
        <w:bidi w:val="0"/>
        <w:spacing w:line="560" w:lineRule="exact"/>
        <w:textAlignment w:val="auto"/>
        <w:outlineLvl w:val="9"/>
        <w:rPr>
          <w:rFonts w:hint="default" w:ascii="Times New Roman" w:hAnsi="Times New Roman" w:cs="Times New Roman" w:eastAsiaTheme="minorEastAsia"/>
          <w:b/>
          <w:sz w:val="28"/>
          <w:szCs w:val="28"/>
          <w:lang w:val="en-US" w:eastAsia="zh-CN"/>
        </w:rPr>
      </w:pPr>
      <w:r>
        <w:rPr>
          <w:rFonts w:hint="default" w:ascii="Times New Roman" w:hAnsi="Times New Roman" w:cs="Times New Roman" w:eastAsiaTheme="minorEastAsia"/>
          <w:b/>
          <w:sz w:val="28"/>
          <w:szCs w:val="28"/>
          <w:lang w:val="en-US" w:eastAsia="zh-CN"/>
        </w:rPr>
        <w:t>3</w:t>
      </w:r>
      <w:r>
        <w:rPr>
          <w:rFonts w:hint="eastAsia" w:ascii="Times New Roman" w:hAnsi="Times New Roman" w:cs="Times New Roman" w:eastAsiaTheme="minorEastAsia"/>
          <w:b/>
          <w:sz w:val="28"/>
          <w:szCs w:val="28"/>
          <w:lang w:val="en-US" w:eastAsia="zh-CN"/>
        </w:rPr>
        <w:t xml:space="preserve"> </w:t>
      </w:r>
      <w:r>
        <w:rPr>
          <w:rFonts w:hint="default" w:ascii="Times New Roman" w:hAnsi="Times New Roman" w:cs="Times New Roman" w:eastAsiaTheme="minorEastAsia"/>
          <w:b/>
          <w:sz w:val="28"/>
          <w:szCs w:val="28"/>
          <w:lang w:val="en-US" w:eastAsia="zh-CN"/>
        </w:rPr>
        <w:t>整改工作情况</w:t>
      </w:r>
      <w:r>
        <w:rPr>
          <w:rFonts w:hint="eastAsia" w:ascii="Times New Roman" w:hAnsi="Times New Roman" w:cs="Times New Roman" w:eastAsiaTheme="minorEastAsia"/>
          <w:b/>
          <w:sz w:val="28"/>
          <w:szCs w:val="28"/>
          <w:lang w:val="en-US" w:eastAsia="zh-CN"/>
        </w:rPr>
        <w:t xml:space="preserve"> </w:t>
      </w:r>
    </w:p>
    <w:p w14:paraId="4A856C22">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项目</w:t>
      </w:r>
      <w:r>
        <w:rPr>
          <w:rFonts w:hint="default" w:ascii="Times New Roman" w:hAnsi="Times New Roman" w:cs="Times New Roman" w:eastAsiaTheme="minorEastAsia"/>
          <w:sz w:val="24"/>
          <w:szCs w:val="24"/>
          <w:lang w:val="en-US" w:eastAsia="zh-CN"/>
        </w:rPr>
        <w:t>验收现场检查会</w:t>
      </w:r>
      <w:r>
        <w:rPr>
          <w:rFonts w:hint="eastAsia" w:ascii="Times New Roman" w:hAnsi="Times New Roman" w:cs="Times New Roman" w:eastAsiaTheme="minorEastAsia"/>
          <w:sz w:val="24"/>
          <w:szCs w:val="24"/>
          <w:lang w:val="en-US" w:eastAsia="zh-CN"/>
        </w:rPr>
        <w:t>专家提出的整改意见及整改措施如下：</w:t>
      </w:r>
    </w:p>
    <w:p w14:paraId="015C3C95">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（1）车间地面上撒漏的粉状物料应及时清理，保持车间地面清洁，防止扬尘。</w:t>
      </w:r>
    </w:p>
    <w:p w14:paraId="2702383C">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u w:val="single"/>
          <w:lang w:val="en-US" w:eastAsia="zh-CN"/>
        </w:rPr>
      </w:pPr>
      <w:r>
        <w:rPr>
          <w:rFonts w:hint="eastAsia" w:ascii="Times New Roman" w:hAnsi="Times New Roman" w:cs="Times New Roman" w:eastAsiaTheme="minorEastAsia"/>
          <w:sz w:val="24"/>
          <w:szCs w:val="24"/>
          <w:u w:val="single"/>
          <w:lang w:val="en-US" w:eastAsia="zh-CN"/>
        </w:rPr>
        <w:t>整改/修改情况：已安排车间专门人员及时清理车间地面上撒漏的粉状物料，保持车间地面清洁，防止扬尘。</w:t>
      </w:r>
    </w:p>
    <w:p w14:paraId="2B194F6B">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val="en-US" w:eastAsia="zh-CN"/>
        </w:rPr>
        <w:t>定期检查废气收集设施的运行情况，确保废气有效收集和处理；</w:t>
      </w:r>
    </w:p>
    <w:p w14:paraId="5DCB07E0">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u w:val="single"/>
          <w:lang w:val="en-US" w:eastAsia="zh-CN"/>
        </w:rPr>
      </w:pPr>
      <w:r>
        <w:rPr>
          <w:rFonts w:hint="eastAsia" w:ascii="Times New Roman" w:hAnsi="Times New Roman" w:cs="Times New Roman" w:eastAsiaTheme="minorEastAsia"/>
          <w:sz w:val="24"/>
          <w:szCs w:val="24"/>
          <w:u w:val="single"/>
          <w:lang w:val="en-US" w:eastAsia="zh-CN"/>
        </w:rPr>
        <w:t>整改/修改情况：已安排车间专门人员</w:t>
      </w:r>
      <w:r>
        <w:rPr>
          <w:rFonts w:hint="default" w:ascii="Times New Roman" w:hAnsi="Times New Roman" w:cs="Times New Roman" w:eastAsiaTheme="minorEastAsia"/>
          <w:sz w:val="24"/>
          <w:szCs w:val="24"/>
          <w:u w:val="single"/>
          <w:lang w:val="en-US" w:eastAsia="zh-CN"/>
        </w:rPr>
        <w:t>定期检查废气收集设施的运行情况，确保废气有效收集和处理</w:t>
      </w:r>
      <w:r>
        <w:rPr>
          <w:rFonts w:hint="eastAsia" w:ascii="Times New Roman" w:hAnsi="Times New Roman" w:cs="Times New Roman" w:eastAsiaTheme="minorEastAsia"/>
          <w:sz w:val="24"/>
          <w:szCs w:val="24"/>
          <w:u w:val="single"/>
          <w:lang w:val="en-US" w:eastAsia="zh-CN"/>
        </w:rPr>
        <w:t>。</w:t>
      </w:r>
    </w:p>
    <w:p w14:paraId="081411AE">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（3）</w:t>
      </w:r>
      <w:r>
        <w:rPr>
          <w:rFonts w:hint="eastAsia" w:ascii="Times New Roman" w:hAnsi="Times New Roman" w:eastAsia="宋体" w:cs="Times New Roman"/>
          <w:color w:val="auto"/>
          <w:kern w:val="2"/>
          <w:sz w:val="24"/>
          <w:szCs w:val="24"/>
          <w:lang w:val="en-US" w:eastAsia="zh-CN" w:bidi="ar-SA"/>
        </w:rPr>
        <w:t>项目运营过程中，严格执行排污许可排放标准，</w:t>
      </w:r>
      <w:r>
        <w:rPr>
          <w:rFonts w:hint="eastAsia" w:ascii="Times New Roman" w:hAnsi="Times New Roman" w:eastAsia="宋体" w:cs="Times New Roman"/>
          <w:color w:val="auto"/>
          <w:sz w:val="24"/>
          <w:szCs w:val="24"/>
          <w:highlight w:val="none"/>
        </w:rPr>
        <w:t>一般固体废物</w:t>
      </w:r>
      <w:r>
        <w:rPr>
          <w:rFonts w:hint="eastAsia" w:ascii="Times New Roman" w:hAnsi="Times New Roman" w:eastAsia="宋体" w:cs="Times New Roman"/>
          <w:color w:val="auto"/>
          <w:kern w:val="2"/>
          <w:sz w:val="24"/>
          <w:szCs w:val="24"/>
          <w:lang w:val="en-US" w:eastAsia="zh-CN" w:bidi="ar-SA"/>
        </w:rPr>
        <w:t>严格按照</w:t>
      </w:r>
      <w:r>
        <w:rPr>
          <w:rFonts w:hint="eastAsia" w:ascii="Times New Roman" w:hAnsi="Times New Roman" w:eastAsia="宋体" w:cs="Times New Roman"/>
          <w:color w:val="auto"/>
          <w:sz w:val="24"/>
          <w:szCs w:val="24"/>
          <w:highlight w:val="none"/>
        </w:rPr>
        <w:t>《一般工业固体废物贮存和填埋污染控制标准》（GB</w:t>
      </w:r>
      <w:r>
        <w:rPr>
          <w:rFonts w:hint="eastAsia" w:ascii="Times New Roman" w:hAnsi="Times New Roman" w:eastAsia="宋体" w:cs="Times New Roman"/>
          <w:color w:val="auto"/>
          <w:sz w:val="24"/>
          <w:szCs w:val="24"/>
          <w:highlight w:val="none"/>
          <w:lang w:val="en-US" w:eastAsia="zh-CN"/>
        </w:rPr>
        <w:t xml:space="preserve"> </w:t>
      </w:r>
      <w:r>
        <w:rPr>
          <w:rFonts w:hint="eastAsia" w:ascii="Times New Roman" w:hAnsi="Times New Roman" w:eastAsia="宋体" w:cs="Times New Roman"/>
          <w:color w:val="auto"/>
          <w:sz w:val="24"/>
          <w:szCs w:val="24"/>
          <w:highlight w:val="none"/>
        </w:rPr>
        <w:t>18599-2020）相关要求</w:t>
      </w:r>
      <w:r>
        <w:rPr>
          <w:rFonts w:hint="eastAsia" w:ascii="Times New Roman" w:hAnsi="Times New Roman" w:cs="Times New Roman"/>
          <w:color w:val="auto"/>
          <w:sz w:val="24"/>
          <w:szCs w:val="24"/>
          <w:highlight w:val="none"/>
          <w:lang w:eastAsia="zh-CN"/>
        </w:rPr>
        <w:t>，</w:t>
      </w:r>
      <w:r>
        <w:rPr>
          <w:rFonts w:hint="eastAsia" w:ascii="Times New Roman" w:hAnsi="Times New Roman" w:eastAsia="宋体" w:cs="Times New Roman"/>
          <w:color w:val="auto"/>
          <w:kern w:val="2"/>
          <w:sz w:val="24"/>
          <w:szCs w:val="24"/>
          <w:lang w:val="en-US" w:eastAsia="zh-CN" w:bidi="ar-SA"/>
        </w:rPr>
        <w:t>危险废物严格按照《危险废物贮存污染控制标准》（GB 18597-2023）要求执行。</w:t>
      </w:r>
    </w:p>
    <w:p w14:paraId="3C7C4B2A">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u w:val="single"/>
          <w:lang w:val="en-US" w:eastAsia="zh-CN"/>
        </w:rPr>
      </w:pPr>
      <w:r>
        <w:rPr>
          <w:rFonts w:hint="eastAsia" w:ascii="Times New Roman" w:hAnsi="Times New Roman" w:cs="Times New Roman" w:eastAsiaTheme="minorEastAsia"/>
          <w:sz w:val="24"/>
          <w:szCs w:val="24"/>
          <w:u w:val="single"/>
          <w:lang w:val="en-US" w:eastAsia="zh-CN"/>
        </w:rPr>
        <w:t>项目运营过程中，严格执行排污许可排放标准，</w:t>
      </w:r>
      <w:r>
        <w:rPr>
          <w:rFonts w:hint="eastAsia" w:ascii="Times New Roman" w:hAnsi="Times New Roman" w:eastAsia="宋体" w:cs="Times New Roman"/>
          <w:color w:val="auto"/>
          <w:sz w:val="24"/>
          <w:szCs w:val="24"/>
          <w:highlight w:val="none"/>
          <w:u w:val="single"/>
        </w:rPr>
        <w:t>一般固体废物</w:t>
      </w:r>
      <w:r>
        <w:rPr>
          <w:rFonts w:hint="eastAsia" w:ascii="Times New Roman" w:hAnsi="Times New Roman" w:eastAsia="宋体" w:cs="Times New Roman"/>
          <w:color w:val="auto"/>
          <w:kern w:val="2"/>
          <w:sz w:val="24"/>
          <w:szCs w:val="24"/>
          <w:u w:val="single"/>
          <w:lang w:val="en-US" w:eastAsia="zh-CN" w:bidi="ar-SA"/>
        </w:rPr>
        <w:t>严格按照</w:t>
      </w:r>
      <w:r>
        <w:rPr>
          <w:rFonts w:hint="eastAsia" w:ascii="Times New Roman" w:hAnsi="Times New Roman" w:eastAsia="宋体" w:cs="Times New Roman"/>
          <w:color w:val="auto"/>
          <w:sz w:val="24"/>
          <w:szCs w:val="24"/>
          <w:highlight w:val="none"/>
          <w:u w:val="single"/>
        </w:rPr>
        <w:t>《一般工业固体废物贮存和填埋污染控制标准》（GB</w:t>
      </w:r>
      <w:r>
        <w:rPr>
          <w:rFonts w:hint="eastAsia" w:ascii="Times New Roman" w:hAnsi="Times New Roman" w:eastAsia="宋体" w:cs="Times New Roman"/>
          <w:color w:val="auto"/>
          <w:sz w:val="24"/>
          <w:szCs w:val="24"/>
          <w:highlight w:val="none"/>
          <w:u w:val="single"/>
          <w:lang w:val="en-US" w:eastAsia="zh-CN"/>
        </w:rPr>
        <w:t xml:space="preserve"> </w:t>
      </w:r>
      <w:r>
        <w:rPr>
          <w:rFonts w:hint="eastAsia" w:ascii="Times New Roman" w:hAnsi="Times New Roman" w:eastAsia="宋体" w:cs="Times New Roman"/>
          <w:color w:val="auto"/>
          <w:sz w:val="24"/>
          <w:szCs w:val="24"/>
          <w:highlight w:val="none"/>
          <w:u w:val="single"/>
        </w:rPr>
        <w:t>18599-2020）相关要求</w:t>
      </w:r>
      <w:r>
        <w:rPr>
          <w:rFonts w:hint="eastAsia" w:ascii="Times New Roman" w:hAnsi="Times New Roman" w:cs="Times New Roman"/>
          <w:color w:val="auto"/>
          <w:sz w:val="24"/>
          <w:szCs w:val="24"/>
          <w:highlight w:val="none"/>
          <w:u w:val="single"/>
          <w:lang w:eastAsia="zh-CN"/>
        </w:rPr>
        <w:t>，</w:t>
      </w:r>
      <w:r>
        <w:rPr>
          <w:rFonts w:hint="eastAsia" w:ascii="Times New Roman" w:hAnsi="Times New Roman" w:cs="Times New Roman" w:eastAsiaTheme="minorEastAsia"/>
          <w:sz w:val="24"/>
          <w:szCs w:val="24"/>
          <w:u w:val="single"/>
          <w:lang w:val="en-US" w:eastAsia="zh-CN"/>
        </w:rPr>
        <w:t>危险废物严格按照《危险废物贮存污染控制标准》（GB 18597-2023）要求执行。</w:t>
      </w:r>
    </w:p>
    <w:p w14:paraId="79298A4B">
      <w:pPr>
        <w:rPr>
          <w:rFonts w:hint="default"/>
          <w:lang w:val="en-US" w:eastAsia="zh-CN"/>
        </w:rPr>
      </w:pPr>
    </w:p>
    <w:sectPr>
      <w:footerReference r:id="rId3" w:type="default"/>
      <w:pgSz w:w="11906" w:h="16838"/>
      <w:pgMar w:top="1474" w:right="1588" w:bottom="1134" w:left="158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986419"/>
    </w:sdtPr>
    <w:sdtContent>
      <w:p w14:paraId="54EA311A">
        <w:pPr>
          <w:pStyle w:val="12"/>
          <w:jc w:val="center"/>
        </w:pPr>
        <w:r>
          <w:fldChar w:fldCharType="begin"/>
        </w:r>
        <w:r>
          <w:instrText xml:space="preserve"> PAGE   \* MERGEFORMAT </w:instrText>
        </w:r>
        <w:r>
          <w:fldChar w:fldCharType="separate"/>
        </w:r>
        <w:r>
          <w:rPr>
            <w:lang w:val="zh-CN"/>
          </w:rPr>
          <w:t>5</w:t>
        </w:r>
        <w:r>
          <w:rPr>
            <w:lang w:val="zh-CN"/>
          </w:rPr>
          <w:fldChar w:fldCharType="end"/>
        </w:r>
      </w:p>
    </w:sdtContent>
  </w:sdt>
  <w:p w14:paraId="4A64FA6C">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mY2JkODAxZjFlOTg1MGE3OWM0OGFkMWI5NzMzYTMifQ=="/>
  </w:docVars>
  <w:rsids>
    <w:rsidRoot w:val="007563DD"/>
    <w:rsid w:val="000052C9"/>
    <w:rsid w:val="000106E6"/>
    <w:rsid w:val="00043789"/>
    <w:rsid w:val="0004757A"/>
    <w:rsid w:val="000477F8"/>
    <w:rsid w:val="00083D4A"/>
    <w:rsid w:val="000A1112"/>
    <w:rsid w:val="000B67DF"/>
    <w:rsid w:val="000C00F8"/>
    <w:rsid w:val="000C279C"/>
    <w:rsid w:val="000C6470"/>
    <w:rsid w:val="000C76C7"/>
    <w:rsid w:val="000D1197"/>
    <w:rsid w:val="000F01F7"/>
    <w:rsid w:val="00151DFD"/>
    <w:rsid w:val="001644BF"/>
    <w:rsid w:val="001D7DCB"/>
    <w:rsid w:val="001F5A71"/>
    <w:rsid w:val="002021AE"/>
    <w:rsid w:val="00206CB0"/>
    <w:rsid w:val="002216C8"/>
    <w:rsid w:val="002304F1"/>
    <w:rsid w:val="0024255B"/>
    <w:rsid w:val="002675C3"/>
    <w:rsid w:val="00286A3A"/>
    <w:rsid w:val="002A64CE"/>
    <w:rsid w:val="002C2EF4"/>
    <w:rsid w:val="002C407F"/>
    <w:rsid w:val="002C5F3D"/>
    <w:rsid w:val="002E5F6D"/>
    <w:rsid w:val="00314A36"/>
    <w:rsid w:val="0035210E"/>
    <w:rsid w:val="00363DC7"/>
    <w:rsid w:val="003919FD"/>
    <w:rsid w:val="00397431"/>
    <w:rsid w:val="003B51F4"/>
    <w:rsid w:val="003B6DCE"/>
    <w:rsid w:val="003D58FF"/>
    <w:rsid w:val="003E5690"/>
    <w:rsid w:val="0040371D"/>
    <w:rsid w:val="00404481"/>
    <w:rsid w:val="004117B4"/>
    <w:rsid w:val="00433313"/>
    <w:rsid w:val="00450B53"/>
    <w:rsid w:val="004511C2"/>
    <w:rsid w:val="00454351"/>
    <w:rsid w:val="0045648C"/>
    <w:rsid w:val="00476437"/>
    <w:rsid w:val="00485BAD"/>
    <w:rsid w:val="004967F1"/>
    <w:rsid w:val="004C155D"/>
    <w:rsid w:val="004C2E77"/>
    <w:rsid w:val="004E0959"/>
    <w:rsid w:val="004E1E17"/>
    <w:rsid w:val="004F029A"/>
    <w:rsid w:val="00502C84"/>
    <w:rsid w:val="00521BF3"/>
    <w:rsid w:val="005250DC"/>
    <w:rsid w:val="00526617"/>
    <w:rsid w:val="00577CE9"/>
    <w:rsid w:val="00594C14"/>
    <w:rsid w:val="00596719"/>
    <w:rsid w:val="005A1FF0"/>
    <w:rsid w:val="005A771B"/>
    <w:rsid w:val="005C7402"/>
    <w:rsid w:val="005D2C8D"/>
    <w:rsid w:val="005E1C3C"/>
    <w:rsid w:val="005F3201"/>
    <w:rsid w:val="005F3CFC"/>
    <w:rsid w:val="005F5587"/>
    <w:rsid w:val="00634898"/>
    <w:rsid w:val="0064502A"/>
    <w:rsid w:val="00651386"/>
    <w:rsid w:val="00694C29"/>
    <w:rsid w:val="00696E86"/>
    <w:rsid w:val="006C089D"/>
    <w:rsid w:val="006D64D5"/>
    <w:rsid w:val="006D7875"/>
    <w:rsid w:val="006E4EC4"/>
    <w:rsid w:val="006E631B"/>
    <w:rsid w:val="006F133D"/>
    <w:rsid w:val="00715686"/>
    <w:rsid w:val="00716074"/>
    <w:rsid w:val="0072363C"/>
    <w:rsid w:val="00734498"/>
    <w:rsid w:val="00751A23"/>
    <w:rsid w:val="007563DD"/>
    <w:rsid w:val="007609FC"/>
    <w:rsid w:val="00773C23"/>
    <w:rsid w:val="00783EE6"/>
    <w:rsid w:val="00784657"/>
    <w:rsid w:val="00794ED6"/>
    <w:rsid w:val="007A1B79"/>
    <w:rsid w:val="007A31F5"/>
    <w:rsid w:val="007B2FBB"/>
    <w:rsid w:val="007E5A0C"/>
    <w:rsid w:val="007F36A0"/>
    <w:rsid w:val="00807D40"/>
    <w:rsid w:val="00814AFF"/>
    <w:rsid w:val="00822B5E"/>
    <w:rsid w:val="0084234F"/>
    <w:rsid w:val="0087269B"/>
    <w:rsid w:val="008850A2"/>
    <w:rsid w:val="0088651C"/>
    <w:rsid w:val="00887367"/>
    <w:rsid w:val="008B0A73"/>
    <w:rsid w:val="008C3EBC"/>
    <w:rsid w:val="008F1DE0"/>
    <w:rsid w:val="009208B1"/>
    <w:rsid w:val="009220E5"/>
    <w:rsid w:val="00937114"/>
    <w:rsid w:val="00947CC2"/>
    <w:rsid w:val="00964A85"/>
    <w:rsid w:val="0097504E"/>
    <w:rsid w:val="009A394A"/>
    <w:rsid w:val="009C21D9"/>
    <w:rsid w:val="009D0A4A"/>
    <w:rsid w:val="009D3B0F"/>
    <w:rsid w:val="009F29CE"/>
    <w:rsid w:val="00A220F3"/>
    <w:rsid w:val="00A43C50"/>
    <w:rsid w:val="00A73CB3"/>
    <w:rsid w:val="00A91823"/>
    <w:rsid w:val="00AB6B23"/>
    <w:rsid w:val="00AC582F"/>
    <w:rsid w:val="00AD5BD0"/>
    <w:rsid w:val="00B15AF8"/>
    <w:rsid w:val="00B32E8E"/>
    <w:rsid w:val="00B426FC"/>
    <w:rsid w:val="00B61146"/>
    <w:rsid w:val="00B66EA6"/>
    <w:rsid w:val="00B958F6"/>
    <w:rsid w:val="00B9710F"/>
    <w:rsid w:val="00BC3E5E"/>
    <w:rsid w:val="00BD329F"/>
    <w:rsid w:val="00BF532D"/>
    <w:rsid w:val="00C608EB"/>
    <w:rsid w:val="00C660C3"/>
    <w:rsid w:val="00CA5D46"/>
    <w:rsid w:val="00CB4D44"/>
    <w:rsid w:val="00CD16BD"/>
    <w:rsid w:val="00CD5B52"/>
    <w:rsid w:val="00CD6607"/>
    <w:rsid w:val="00CF34E5"/>
    <w:rsid w:val="00CF7F6B"/>
    <w:rsid w:val="00D252DD"/>
    <w:rsid w:val="00D31AAB"/>
    <w:rsid w:val="00D37338"/>
    <w:rsid w:val="00D37BF1"/>
    <w:rsid w:val="00D71B86"/>
    <w:rsid w:val="00D85664"/>
    <w:rsid w:val="00DA0738"/>
    <w:rsid w:val="00DA7F86"/>
    <w:rsid w:val="00DB3083"/>
    <w:rsid w:val="00DB6651"/>
    <w:rsid w:val="00DC3157"/>
    <w:rsid w:val="00E56BB2"/>
    <w:rsid w:val="00E773B0"/>
    <w:rsid w:val="00E86AE3"/>
    <w:rsid w:val="00EB0A04"/>
    <w:rsid w:val="00EB635C"/>
    <w:rsid w:val="00EC63C9"/>
    <w:rsid w:val="00EE4377"/>
    <w:rsid w:val="00EE661E"/>
    <w:rsid w:val="00EF4573"/>
    <w:rsid w:val="00F02D9F"/>
    <w:rsid w:val="00F0485B"/>
    <w:rsid w:val="00F228D3"/>
    <w:rsid w:val="00F30EF1"/>
    <w:rsid w:val="00F31651"/>
    <w:rsid w:val="00F566A6"/>
    <w:rsid w:val="00F94677"/>
    <w:rsid w:val="00FC4643"/>
    <w:rsid w:val="00FD2A57"/>
    <w:rsid w:val="04E44794"/>
    <w:rsid w:val="053F0C01"/>
    <w:rsid w:val="066A3C96"/>
    <w:rsid w:val="06D25F48"/>
    <w:rsid w:val="08981135"/>
    <w:rsid w:val="08AC6127"/>
    <w:rsid w:val="0ADB5E7A"/>
    <w:rsid w:val="0B472137"/>
    <w:rsid w:val="0C8223EB"/>
    <w:rsid w:val="0D0001DD"/>
    <w:rsid w:val="0F1C1BCD"/>
    <w:rsid w:val="0FBA5B79"/>
    <w:rsid w:val="11625F1D"/>
    <w:rsid w:val="12CD5618"/>
    <w:rsid w:val="13393A51"/>
    <w:rsid w:val="140B7F29"/>
    <w:rsid w:val="141B57BA"/>
    <w:rsid w:val="16154F53"/>
    <w:rsid w:val="16C15CF6"/>
    <w:rsid w:val="17B71A49"/>
    <w:rsid w:val="182F2017"/>
    <w:rsid w:val="19A12421"/>
    <w:rsid w:val="1A2A15A2"/>
    <w:rsid w:val="1AAE2376"/>
    <w:rsid w:val="1B1851B0"/>
    <w:rsid w:val="1C0D1583"/>
    <w:rsid w:val="1F7E33E3"/>
    <w:rsid w:val="20AD65B5"/>
    <w:rsid w:val="20C33720"/>
    <w:rsid w:val="20FF1092"/>
    <w:rsid w:val="218C6A2F"/>
    <w:rsid w:val="22B36145"/>
    <w:rsid w:val="24657C98"/>
    <w:rsid w:val="24C100AF"/>
    <w:rsid w:val="26150725"/>
    <w:rsid w:val="26F95E73"/>
    <w:rsid w:val="270B5883"/>
    <w:rsid w:val="288C09DE"/>
    <w:rsid w:val="2A743136"/>
    <w:rsid w:val="2ABB7EB6"/>
    <w:rsid w:val="2F1728B1"/>
    <w:rsid w:val="30674F5B"/>
    <w:rsid w:val="321E3342"/>
    <w:rsid w:val="332826CA"/>
    <w:rsid w:val="33B639D3"/>
    <w:rsid w:val="33BA52ED"/>
    <w:rsid w:val="33D415F5"/>
    <w:rsid w:val="352B1605"/>
    <w:rsid w:val="35475771"/>
    <w:rsid w:val="35BB246B"/>
    <w:rsid w:val="35F11C8A"/>
    <w:rsid w:val="39DE1D35"/>
    <w:rsid w:val="3BD50FCD"/>
    <w:rsid w:val="3CE753A4"/>
    <w:rsid w:val="3F8C2233"/>
    <w:rsid w:val="403A0C7C"/>
    <w:rsid w:val="42A64878"/>
    <w:rsid w:val="446F2B9F"/>
    <w:rsid w:val="44756DC2"/>
    <w:rsid w:val="44CD1674"/>
    <w:rsid w:val="452C453B"/>
    <w:rsid w:val="452E566D"/>
    <w:rsid w:val="478466B3"/>
    <w:rsid w:val="4D5558B4"/>
    <w:rsid w:val="4E751289"/>
    <w:rsid w:val="4EF37070"/>
    <w:rsid w:val="502328A6"/>
    <w:rsid w:val="50666188"/>
    <w:rsid w:val="518A07B0"/>
    <w:rsid w:val="52B018E5"/>
    <w:rsid w:val="536E48F6"/>
    <w:rsid w:val="53DD36D8"/>
    <w:rsid w:val="54E91C64"/>
    <w:rsid w:val="54EE0658"/>
    <w:rsid w:val="550429A6"/>
    <w:rsid w:val="562954F0"/>
    <w:rsid w:val="57F86847"/>
    <w:rsid w:val="59785D49"/>
    <w:rsid w:val="5A0C3D15"/>
    <w:rsid w:val="5B044F1C"/>
    <w:rsid w:val="5B5B47E1"/>
    <w:rsid w:val="5B6954ED"/>
    <w:rsid w:val="5C084E7C"/>
    <w:rsid w:val="5C763BF7"/>
    <w:rsid w:val="5EC253E6"/>
    <w:rsid w:val="5F9C768C"/>
    <w:rsid w:val="60A878DC"/>
    <w:rsid w:val="60B82B42"/>
    <w:rsid w:val="622F0313"/>
    <w:rsid w:val="62536A85"/>
    <w:rsid w:val="63AE1EC8"/>
    <w:rsid w:val="641B4FF7"/>
    <w:rsid w:val="649460BF"/>
    <w:rsid w:val="64E04972"/>
    <w:rsid w:val="68D4001D"/>
    <w:rsid w:val="695305DA"/>
    <w:rsid w:val="69807E63"/>
    <w:rsid w:val="6A4662AD"/>
    <w:rsid w:val="6A7038C2"/>
    <w:rsid w:val="6AAE1741"/>
    <w:rsid w:val="6C9227DE"/>
    <w:rsid w:val="6CEC69DF"/>
    <w:rsid w:val="6F5F79E8"/>
    <w:rsid w:val="70904E30"/>
    <w:rsid w:val="71BE777B"/>
    <w:rsid w:val="722A44D1"/>
    <w:rsid w:val="75926377"/>
    <w:rsid w:val="7696248B"/>
    <w:rsid w:val="76A35191"/>
    <w:rsid w:val="76DD7878"/>
    <w:rsid w:val="76DE59F5"/>
    <w:rsid w:val="78B611AB"/>
    <w:rsid w:val="79425628"/>
    <w:rsid w:val="7A525C08"/>
    <w:rsid w:val="7A7F09A7"/>
    <w:rsid w:val="7ACF34CF"/>
    <w:rsid w:val="7B910714"/>
    <w:rsid w:val="7C2D2E8E"/>
    <w:rsid w:val="7CC72557"/>
    <w:rsid w:val="7D422132"/>
    <w:rsid w:val="7EAB7F69"/>
    <w:rsid w:val="7ECC448D"/>
    <w:rsid w:val="7FF365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keepNext/>
      <w:keepLines/>
      <w:spacing w:before="340" w:after="330" w:line="240" w:lineRule="auto"/>
      <w:outlineLvl w:val="0"/>
    </w:pPr>
    <w:rPr>
      <w:rFonts w:ascii="Times New Roman" w:hAnsi="Times New Roman" w:eastAsia="楷体"/>
      <w:b/>
      <w:bCs/>
      <w:kern w:val="44"/>
      <w:sz w:val="24"/>
      <w:szCs w:val="44"/>
    </w:rPr>
  </w:style>
  <w:style w:type="paragraph" w:styleId="5">
    <w:name w:val="heading 2"/>
    <w:basedOn w:val="1"/>
    <w:next w:val="1"/>
    <w:autoRedefine/>
    <w:qFormat/>
    <w:uiPriority w:val="0"/>
    <w:pPr>
      <w:keepNext/>
      <w:keepLines/>
      <w:widowControl w:val="0"/>
      <w:adjustRightInd/>
      <w:snapToGrid/>
      <w:spacing w:after="0" w:afterLines="0" w:line="360" w:lineRule="exact"/>
      <w:jc w:val="both"/>
      <w:outlineLvl w:val="1"/>
    </w:pPr>
    <w:rPr>
      <w:rFonts w:ascii="Times New Roman" w:hAnsi="Times New Roman" w:eastAsia="宋体" w:cs="Times New Roman"/>
      <w:bCs/>
      <w:kern w:val="2"/>
      <w:sz w:val="21"/>
      <w:szCs w:val="32"/>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basedOn w:val="3"/>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next w:val="1"/>
    <w:autoRedefine/>
    <w:qFormat/>
    <w:uiPriority w:val="0"/>
    <w:rPr>
      <w:rFonts w:ascii="宋体" w:hAnsi="Courier New"/>
    </w:rPr>
  </w:style>
  <w:style w:type="paragraph" w:styleId="6">
    <w:name w:val="annotation text"/>
    <w:basedOn w:val="1"/>
    <w:link w:val="30"/>
    <w:autoRedefine/>
    <w:qFormat/>
    <w:uiPriority w:val="0"/>
    <w:pPr>
      <w:jc w:val="left"/>
    </w:pPr>
    <w:rPr>
      <w:rFonts w:ascii="Times New Roman" w:hAnsi="Times New Roman"/>
      <w:szCs w:val="20"/>
    </w:rPr>
  </w:style>
  <w:style w:type="paragraph" w:styleId="7">
    <w:name w:val="Body Text"/>
    <w:basedOn w:val="1"/>
    <w:link w:val="28"/>
    <w:qFormat/>
    <w:uiPriority w:val="0"/>
    <w:pPr>
      <w:spacing w:after="120"/>
    </w:pPr>
    <w:rPr>
      <w:rFonts w:ascii="Times New Roman" w:hAnsi="Times New Roman"/>
      <w:szCs w:val="20"/>
    </w:rPr>
  </w:style>
  <w:style w:type="paragraph" w:styleId="8">
    <w:name w:val="Body Text Indent"/>
    <w:basedOn w:val="1"/>
    <w:next w:val="9"/>
    <w:autoRedefine/>
    <w:unhideWhenUsed/>
    <w:qFormat/>
    <w:uiPriority w:val="99"/>
    <w:pPr>
      <w:ind w:left="420" w:leftChars="200"/>
    </w:pPr>
  </w:style>
  <w:style w:type="paragraph" w:customStyle="1" w:styleId="9">
    <w:name w:val="样式 正文文本缩进 + 行距: 1.5 倍行距"/>
    <w:basedOn w:val="1"/>
    <w:autoRedefine/>
    <w:qFormat/>
    <w:uiPriority w:val="0"/>
    <w:pPr>
      <w:spacing w:after="120" w:line="360" w:lineRule="auto"/>
      <w:ind w:left="90" w:leftChars="32" w:firstLine="560" w:firstLineChars="200"/>
    </w:pPr>
    <w:rPr>
      <w:rFonts w:cs="宋体"/>
    </w:rPr>
  </w:style>
  <w:style w:type="paragraph" w:styleId="10">
    <w:name w:val="Plain Text"/>
    <w:basedOn w:val="1"/>
    <w:next w:val="8"/>
    <w:autoRedefine/>
    <w:qFormat/>
    <w:uiPriority w:val="0"/>
    <w:rPr>
      <w:rFonts w:ascii="宋体" w:hAnsi="Courier New" w:cs="Courier New"/>
      <w:szCs w:val="21"/>
    </w:rPr>
  </w:style>
  <w:style w:type="paragraph" w:styleId="11">
    <w:name w:val="Balloon Text"/>
    <w:basedOn w:val="1"/>
    <w:link w:val="24"/>
    <w:autoRedefine/>
    <w:semiHidden/>
    <w:unhideWhenUsed/>
    <w:qFormat/>
    <w:uiPriority w:val="99"/>
    <w:rPr>
      <w:sz w:val="18"/>
      <w:szCs w:val="18"/>
    </w:rPr>
  </w:style>
  <w:style w:type="paragraph" w:styleId="12">
    <w:name w:val="footer"/>
    <w:basedOn w:val="1"/>
    <w:link w:val="23"/>
    <w:autoRedefine/>
    <w:unhideWhenUsed/>
    <w:qFormat/>
    <w:uiPriority w:val="99"/>
    <w:pPr>
      <w:tabs>
        <w:tab w:val="center" w:pos="4153"/>
        <w:tab w:val="right" w:pos="8306"/>
      </w:tabs>
      <w:snapToGrid w:val="0"/>
      <w:jc w:val="left"/>
    </w:pPr>
    <w:rPr>
      <w:sz w:val="18"/>
      <w:szCs w:val="18"/>
    </w:rPr>
  </w:style>
  <w:style w:type="paragraph" w:styleId="13">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Body Text Indent 3"/>
    <w:basedOn w:val="1"/>
    <w:autoRedefine/>
    <w:qFormat/>
    <w:uiPriority w:val="0"/>
    <w:pPr>
      <w:spacing w:after="120"/>
      <w:ind w:left="420" w:leftChars="200"/>
    </w:pPr>
    <w:rPr>
      <w:sz w:val="16"/>
      <w:szCs w:val="16"/>
    </w:rPr>
  </w:style>
  <w:style w:type="paragraph" w:styleId="1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styleId="16">
    <w:name w:val="Body Text First Indent 2"/>
    <w:basedOn w:val="8"/>
    <w:next w:val="1"/>
    <w:autoRedefine/>
    <w:qFormat/>
    <w:uiPriority w:val="0"/>
    <w:pPr>
      <w:ind w:firstLine="42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annotation reference"/>
    <w:basedOn w:val="19"/>
    <w:autoRedefine/>
    <w:qFormat/>
    <w:uiPriority w:val="0"/>
    <w:rPr>
      <w:sz w:val="21"/>
      <w:szCs w:val="21"/>
    </w:rPr>
  </w:style>
  <w:style w:type="paragraph" w:customStyle="1" w:styleId="21">
    <w:name w:val="li_正文"/>
    <w:basedOn w:val="1"/>
    <w:autoRedefine/>
    <w:qFormat/>
    <w:uiPriority w:val="0"/>
    <w:pPr>
      <w:ind w:firstLine="200" w:firstLineChars="200"/>
      <w:jc w:val="left"/>
    </w:pPr>
    <w:rPr>
      <w:sz w:val="28"/>
      <w:szCs w:val="28"/>
    </w:rPr>
  </w:style>
  <w:style w:type="character" w:customStyle="1" w:styleId="22">
    <w:name w:val="页眉 Char"/>
    <w:basedOn w:val="19"/>
    <w:link w:val="13"/>
    <w:autoRedefine/>
    <w:qFormat/>
    <w:uiPriority w:val="99"/>
    <w:rPr>
      <w:sz w:val="18"/>
      <w:szCs w:val="18"/>
    </w:rPr>
  </w:style>
  <w:style w:type="character" w:customStyle="1" w:styleId="23">
    <w:name w:val="页脚 Char"/>
    <w:basedOn w:val="19"/>
    <w:link w:val="12"/>
    <w:autoRedefine/>
    <w:qFormat/>
    <w:uiPriority w:val="99"/>
    <w:rPr>
      <w:sz w:val="18"/>
      <w:szCs w:val="18"/>
    </w:rPr>
  </w:style>
  <w:style w:type="character" w:customStyle="1" w:styleId="24">
    <w:name w:val="批注框文本 Char"/>
    <w:basedOn w:val="19"/>
    <w:link w:val="11"/>
    <w:autoRedefine/>
    <w:semiHidden/>
    <w:qFormat/>
    <w:uiPriority w:val="99"/>
    <w:rPr>
      <w:rFonts w:ascii="Calibri" w:hAnsi="Calibri" w:eastAsia="宋体" w:cs="Times New Roman"/>
      <w:kern w:val="2"/>
      <w:sz w:val="18"/>
      <w:szCs w:val="18"/>
    </w:rPr>
  </w:style>
  <w:style w:type="paragraph" w:customStyle="1" w:styleId="25">
    <w:name w:val="CM24"/>
    <w:autoRedefine/>
    <w:qFormat/>
    <w:uiPriority w:val="0"/>
    <w:pPr>
      <w:widowControl w:val="0"/>
      <w:autoSpaceDE w:val="0"/>
      <w:autoSpaceDN w:val="0"/>
      <w:adjustRightInd w:val="0"/>
      <w:spacing w:line="411" w:lineRule="atLeast"/>
    </w:pPr>
    <w:rPr>
      <w:rFonts w:hint="eastAsia" w:ascii="黑体" w:hAnsi="宋体" w:eastAsia="黑体" w:cs="Times New Roman"/>
      <w:color w:val="000000"/>
      <w:sz w:val="24"/>
      <w:szCs w:val="22"/>
      <w:lang w:val="en-US" w:eastAsia="zh-CN" w:bidi="ar-SA"/>
    </w:rPr>
  </w:style>
  <w:style w:type="paragraph" w:styleId="26">
    <w:name w:val="List Paragraph"/>
    <w:basedOn w:val="1"/>
    <w:autoRedefine/>
    <w:unhideWhenUsed/>
    <w:qFormat/>
    <w:uiPriority w:val="99"/>
    <w:pPr>
      <w:ind w:firstLine="420" w:firstLineChars="200"/>
    </w:pPr>
  </w:style>
  <w:style w:type="paragraph" w:customStyle="1" w:styleId="27">
    <w:name w:val="正1"/>
    <w:basedOn w:val="1"/>
    <w:link w:val="32"/>
    <w:autoRedefine/>
    <w:qFormat/>
    <w:uiPriority w:val="0"/>
    <w:pPr>
      <w:spacing w:line="360" w:lineRule="auto"/>
      <w:ind w:firstLine="200" w:firstLineChars="200"/>
      <w:jc w:val="left"/>
    </w:pPr>
    <w:rPr>
      <w:rFonts w:eastAsia="楷体_GB2312"/>
      <w:sz w:val="24"/>
    </w:rPr>
  </w:style>
  <w:style w:type="character" w:customStyle="1" w:styleId="28">
    <w:name w:val="正文文本 Char"/>
    <w:basedOn w:val="19"/>
    <w:link w:val="7"/>
    <w:autoRedefine/>
    <w:qFormat/>
    <w:uiPriority w:val="0"/>
    <w:rPr>
      <w:kern w:val="2"/>
      <w:sz w:val="21"/>
    </w:rPr>
  </w:style>
  <w:style w:type="paragraph" w:customStyle="1" w:styleId="29">
    <w:name w:val="Char Char Char Char Char Char Char Char Char Char"/>
    <w:basedOn w:val="1"/>
    <w:autoRedefine/>
    <w:qFormat/>
    <w:uiPriority w:val="0"/>
    <w:pPr>
      <w:spacing w:line="240" w:lineRule="exact"/>
      <w:ind w:firstLine="200" w:firstLineChars="200"/>
    </w:pPr>
    <w:rPr>
      <w:rFonts w:ascii="宋体" w:hAnsi="宋体" w:cs="宋体"/>
      <w:sz w:val="24"/>
    </w:rPr>
  </w:style>
  <w:style w:type="character" w:customStyle="1" w:styleId="30">
    <w:name w:val="批注文字 Char"/>
    <w:basedOn w:val="19"/>
    <w:link w:val="6"/>
    <w:autoRedefine/>
    <w:qFormat/>
    <w:uiPriority w:val="0"/>
    <w:rPr>
      <w:kern w:val="2"/>
      <w:sz w:val="21"/>
    </w:rPr>
  </w:style>
  <w:style w:type="paragraph" w:customStyle="1" w:styleId="31">
    <w:name w:val="ZW正文"/>
    <w:basedOn w:val="1"/>
    <w:autoRedefine/>
    <w:qFormat/>
    <w:uiPriority w:val="0"/>
    <w:pPr>
      <w:spacing w:line="500" w:lineRule="exact"/>
      <w:ind w:firstLine="480" w:firstLineChars="200"/>
    </w:pPr>
    <w:rPr>
      <w:rFonts w:ascii="Times New Roman" w:hAnsi="Times New Roman"/>
      <w:sz w:val="24"/>
      <w:szCs w:val="20"/>
    </w:rPr>
  </w:style>
  <w:style w:type="character" w:customStyle="1" w:styleId="32">
    <w:name w:val="正1 Char"/>
    <w:link w:val="27"/>
    <w:autoRedefine/>
    <w:qFormat/>
    <w:uiPriority w:val="0"/>
    <w:rPr>
      <w:rFonts w:ascii="Calibri" w:hAnsi="Calibri" w:eastAsia="楷体_GB2312"/>
      <w:kern w:val="2"/>
      <w:sz w:val="24"/>
      <w:szCs w:val="24"/>
    </w:rPr>
  </w:style>
  <w:style w:type="paragraph" w:customStyle="1" w:styleId="33">
    <w:name w:val="CM25"/>
    <w:autoRedefine/>
    <w:qFormat/>
    <w:uiPriority w:val="0"/>
    <w:pPr>
      <w:widowControl w:val="0"/>
      <w:autoSpaceDE w:val="0"/>
      <w:autoSpaceDN w:val="0"/>
      <w:adjustRightInd w:val="0"/>
      <w:spacing w:line="408" w:lineRule="atLeast"/>
    </w:pPr>
    <w:rPr>
      <w:rFonts w:hint="eastAsia" w:ascii="黑体" w:hAnsi="宋体" w:eastAsia="黑体" w:cs="Times New Roman"/>
      <w:color w:val="000000"/>
      <w:sz w:val="24"/>
      <w:szCs w:val="22"/>
      <w:lang w:val="en-US" w:eastAsia="zh-CN" w:bidi="ar-SA"/>
    </w:rPr>
  </w:style>
  <w:style w:type="paragraph" w:customStyle="1" w:styleId="34">
    <w:name w:val="列出段落1"/>
    <w:basedOn w:val="1"/>
    <w:autoRedefine/>
    <w:qFormat/>
    <w:uiPriority w:val="0"/>
    <w:pPr>
      <w:keepNext w:val="0"/>
      <w:keepLines w:val="0"/>
      <w:widowControl w:val="0"/>
      <w:suppressLineNumbers w:val="0"/>
      <w:spacing w:before="0" w:beforeAutospacing="0" w:after="0" w:afterAutospacing="0" w:line="240" w:lineRule="auto"/>
      <w:ind w:left="0" w:firstLine="200" w:firstLineChars="200"/>
      <w:jc w:val="both"/>
    </w:pPr>
    <w:rPr>
      <w:rFonts w:hint="default" w:ascii="Calibri" w:hAnsi="Calibri" w:eastAsia="宋体" w:cs="Calibri"/>
      <w:kern w:val="2"/>
      <w:sz w:val="21"/>
      <w:szCs w:val="22"/>
      <w:lang w:val="en-US" w:eastAsia="zh-CN" w:bidi="ar"/>
    </w:rPr>
  </w:style>
  <w:style w:type="character" w:customStyle="1" w:styleId="35">
    <w:name w:val="NormalCharacter"/>
    <w:autoRedefine/>
    <w:semiHidden/>
    <w:qFormat/>
    <w:uiPriority w:val="0"/>
  </w:style>
  <w:style w:type="paragraph" w:customStyle="1" w:styleId="36">
    <w:name w:val="Normal (Web)"/>
    <w:basedOn w:val="1"/>
    <w:autoRedefine/>
    <w:qFormat/>
    <w:uiPriority w:val="0"/>
    <w:pPr>
      <w:adjustRightInd/>
      <w:snapToGrid/>
      <w:spacing w:before="100" w:beforeLines="0" w:beforeAutospacing="1" w:after="100" w:afterLines="0" w:afterAutospacing="1"/>
    </w:pPr>
    <w:rPr>
      <w:rFonts w:ascii="宋体" w:hAnsi="宋体" w:eastAsia="宋体" w:cs="宋体"/>
      <w:sz w:val="24"/>
      <w:szCs w:val="24"/>
    </w:rPr>
  </w:style>
  <w:style w:type="paragraph" w:customStyle="1" w:styleId="37">
    <w:name w:val="样式1"/>
    <w:basedOn w:val="1"/>
    <w:autoRedefine/>
    <w:qFormat/>
    <w:uiPriority w:val="0"/>
    <w:pPr>
      <w:adjustRightInd/>
      <w:snapToGrid/>
      <w:spacing w:after="0" w:line="360" w:lineRule="auto"/>
      <w:jc w:val="center"/>
    </w:pPr>
    <w:rPr>
      <w:rFonts w:ascii="仿宋_GB2312" w:hAnsi="Times New Roman" w:eastAsia="黑体" w:cs="Times New Roman"/>
      <w:b/>
      <w:kern w:val="2"/>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2860</Words>
  <Characters>3021</Characters>
  <Lines>18</Lines>
  <Paragraphs>5</Paragraphs>
  <TotalTime>2</TotalTime>
  <ScaleCrop>false</ScaleCrop>
  <LinksUpToDate>false</LinksUpToDate>
  <CharactersWithSpaces>3045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2017-11-21T09:30:00Z</dcterms:created>
  <dc:creator>Windows 用户</dc:creator>
  <cp:lastModifiedBy>良言未素</cp:lastModifiedBy>
  <cp:lastPrinted>2019-02-26T02:51:00Z</cp:lastPrinted>
  <dcterms:modified xsi:type="dcterms:W3CDTF">2025-01-17T08:28:56Z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7C723001A34C4890879D02114D5E2A9B_13</vt:lpwstr>
  </property>
  <property fmtid="{D5CDD505-2E9C-101B-9397-08002B2CF9AE}" pid="4" name="KSOTemplateDocerSaveRecord">
    <vt:lpwstr>eyJoZGlkIjoiY2Q5NzFmZWMwZDI3YzY5MTEzZGE2YjM4OTNkM2M5N2UiLCJ1c2VySWQiOiIzMDM1MjgyNzUifQ==</vt:lpwstr>
  </property>
</Properties>
</file>