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hint="eastAsia" w:eastAsiaTheme="minorEastAsia"/>
          <w:b/>
          <w:bCs/>
          <w:sz w:val="32"/>
          <w:lang w:eastAsia="zh-CN"/>
        </w:rPr>
      </w:pPr>
      <w:r>
        <w:rPr>
          <w:rFonts w:hint="eastAsia" w:eastAsiaTheme="minorEastAsia"/>
          <w:b/>
          <w:bCs/>
          <w:sz w:val="32"/>
          <w:lang w:eastAsia="zh-CN"/>
        </w:rPr>
        <w:t>青岛宏润珏金属制品有限公司</w:t>
      </w:r>
    </w:p>
    <w:p>
      <w:pPr>
        <w:spacing w:line="276" w:lineRule="auto"/>
        <w:jc w:val="center"/>
        <w:rPr>
          <w:rFonts w:hint="eastAsia" w:eastAsiaTheme="minorEastAsia"/>
          <w:b/>
          <w:bCs/>
          <w:sz w:val="32"/>
          <w:lang w:eastAsia="zh-CN"/>
        </w:rPr>
      </w:pPr>
      <w:r>
        <w:rPr>
          <w:rFonts w:hint="eastAsia" w:eastAsiaTheme="minorEastAsia"/>
          <w:b/>
          <w:bCs/>
          <w:sz w:val="32"/>
          <w:lang w:eastAsia="zh-CN"/>
        </w:rPr>
        <w:t>新建金属制品热镀锌项目</w:t>
      </w:r>
    </w:p>
    <w:p>
      <w:pPr>
        <w:spacing w:line="276" w:lineRule="auto"/>
        <w:jc w:val="center"/>
        <w:rPr>
          <w:rFonts w:eastAsiaTheme="minorEastAsia"/>
          <w:b/>
          <w:bCs/>
          <w:sz w:val="32"/>
        </w:rPr>
      </w:pPr>
      <w:r>
        <w:rPr>
          <w:rFonts w:eastAsiaTheme="minorEastAsia"/>
          <w:b/>
          <w:bCs/>
          <w:sz w:val="32"/>
        </w:rPr>
        <w:t>竣工环境保护验收意见</w:t>
      </w:r>
    </w:p>
    <w:p>
      <w:pPr>
        <w:spacing w:line="360" w:lineRule="auto"/>
        <w:ind w:firstLine="480" w:firstLineChars="200"/>
        <w:rPr>
          <w:rFonts w:eastAsiaTheme="minorEastAsia"/>
          <w:sz w:val="24"/>
          <w:szCs w:val="24"/>
        </w:rPr>
      </w:pPr>
    </w:p>
    <w:p>
      <w:pPr>
        <w:spacing w:line="360" w:lineRule="auto"/>
        <w:ind w:firstLine="480" w:firstLineChars="200"/>
        <w:rPr>
          <w:rFonts w:eastAsiaTheme="minorEastAsia"/>
          <w:sz w:val="24"/>
          <w:szCs w:val="24"/>
        </w:rPr>
      </w:pPr>
      <w:r>
        <w:rPr>
          <w:rFonts w:eastAsiaTheme="minorEastAsia"/>
          <w:sz w:val="24"/>
          <w:szCs w:val="24"/>
        </w:rPr>
        <w:t>2020年</w:t>
      </w:r>
      <w:r>
        <w:rPr>
          <w:rFonts w:hint="eastAsia" w:eastAsiaTheme="minorEastAsia"/>
          <w:sz w:val="24"/>
          <w:szCs w:val="24"/>
          <w:lang w:val="en-US" w:eastAsia="zh-CN"/>
        </w:rPr>
        <w:t>10</w:t>
      </w:r>
      <w:r>
        <w:rPr>
          <w:rFonts w:eastAsiaTheme="minorEastAsia"/>
          <w:sz w:val="24"/>
          <w:szCs w:val="24"/>
        </w:rPr>
        <w:t>月</w:t>
      </w:r>
      <w:r>
        <w:rPr>
          <w:rFonts w:hint="eastAsia" w:eastAsiaTheme="minorEastAsia"/>
          <w:sz w:val="24"/>
          <w:szCs w:val="24"/>
          <w:lang w:val="en-US" w:eastAsia="zh-CN"/>
        </w:rPr>
        <w:t>11</w:t>
      </w:r>
      <w:r>
        <w:rPr>
          <w:rFonts w:eastAsiaTheme="minorEastAsia"/>
          <w:sz w:val="24"/>
          <w:szCs w:val="24"/>
        </w:rPr>
        <w:t>日，</w:t>
      </w:r>
      <w:r>
        <w:rPr>
          <w:rFonts w:hint="eastAsia" w:eastAsiaTheme="minorEastAsia"/>
          <w:sz w:val="24"/>
          <w:szCs w:val="24"/>
          <w:lang w:eastAsia="zh-CN"/>
        </w:rPr>
        <w:t>青岛宏润珏金属制品有限公司</w:t>
      </w:r>
      <w:r>
        <w:rPr>
          <w:rFonts w:eastAsiaTheme="minorEastAsia"/>
          <w:sz w:val="24"/>
          <w:szCs w:val="24"/>
        </w:rPr>
        <w:t>根据“</w:t>
      </w:r>
      <w:r>
        <w:rPr>
          <w:rFonts w:hint="eastAsia" w:eastAsiaTheme="minorEastAsia"/>
          <w:sz w:val="24"/>
          <w:szCs w:val="24"/>
          <w:lang w:eastAsia="zh-CN"/>
        </w:rPr>
        <w:t>新建金属制品热镀锌项目</w:t>
      </w:r>
      <w:r>
        <w:rPr>
          <w:rFonts w:eastAsiaTheme="minorEastAsia"/>
          <w:sz w:val="24"/>
          <w:szCs w:val="24"/>
        </w:rPr>
        <w:t>”竣工环境保护验收监测报告，并对照《建设项目竣工环境保护验收暂行办法》，严格依照国家有关法律法</w:t>
      </w:r>
      <w:bookmarkStart w:id="0" w:name="_GoBack"/>
      <w:bookmarkEnd w:id="0"/>
      <w:r>
        <w:rPr>
          <w:rFonts w:eastAsiaTheme="minorEastAsia"/>
          <w:sz w:val="24"/>
          <w:szCs w:val="24"/>
        </w:rPr>
        <w:t>规、建设项目竣工环境保护验收技术规范/指南、本项目环境影响报告书和审批部门审批决定等要求，对本项目进行验收，提出意见如下：</w:t>
      </w:r>
    </w:p>
    <w:p>
      <w:pPr>
        <w:spacing w:line="360" w:lineRule="auto"/>
        <w:ind w:firstLine="482" w:firstLineChars="200"/>
        <w:rPr>
          <w:rFonts w:eastAsiaTheme="minorEastAsia"/>
          <w:b/>
          <w:sz w:val="24"/>
          <w:szCs w:val="24"/>
        </w:rPr>
      </w:pPr>
      <w:r>
        <w:rPr>
          <w:rFonts w:eastAsiaTheme="minorEastAsia"/>
          <w:b/>
          <w:sz w:val="24"/>
          <w:szCs w:val="24"/>
        </w:rPr>
        <w:t>一、项目基本情况</w:t>
      </w:r>
    </w:p>
    <w:p>
      <w:pPr>
        <w:spacing w:line="360" w:lineRule="auto"/>
        <w:ind w:firstLine="480" w:firstLineChars="200"/>
        <w:rPr>
          <w:rFonts w:eastAsiaTheme="minorEastAsia"/>
          <w:sz w:val="24"/>
          <w:szCs w:val="24"/>
        </w:rPr>
      </w:pPr>
      <w:r>
        <w:rPr>
          <w:rFonts w:eastAsiaTheme="minorEastAsia"/>
          <w:sz w:val="24"/>
          <w:szCs w:val="24"/>
        </w:rPr>
        <w:t>（一）建设地点、规模、主要建设内容</w:t>
      </w:r>
    </w:p>
    <w:p>
      <w:pPr>
        <w:spacing w:line="360" w:lineRule="auto"/>
        <w:ind w:firstLine="480" w:firstLineChars="200"/>
        <w:rPr>
          <w:rFonts w:hint="eastAsia" w:eastAsiaTheme="minorEastAsia"/>
          <w:sz w:val="24"/>
          <w:szCs w:val="24"/>
          <w:lang w:eastAsia="zh-CN"/>
        </w:rPr>
      </w:pPr>
      <w:r>
        <w:rPr>
          <w:rFonts w:hint="eastAsia" w:eastAsiaTheme="minorEastAsia"/>
          <w:sz w:val="24"/>
          <w:szCs w:val="24"/>
          <w:lang w:eastAsia="zh-CN"/>
        </w:rPr>
        <w:t>青岛宏润珏金属制品有限公司新建金属制品热镀锌项目（一期）为新建项目，位于山东省青岛市平度市南村镇海信路66号，租赁青岛新绿禾蔬菜有限公司现有厂房和土地进行建设。原拟投资400万元，项目建成后年产热镀锌制品60000t/a，包括锁具20000t/a，电力铸件20000t/a，五金件20000t/a。</w:t>
      </w:r>
    </w:p>
    <w:p>
      <w:pPr>
        <w:spacing w:line="360" w:lineRule="auto"/>
        <w:ind w:firstLine="480" w:firstLineChars="200"/>
        <w:rPr>
          <w:rFonts w:hint="eastAsia" w:eastAsiaTheme="minorEastAsia"/>
          <w:sz w:val="24"/>
          <w:szCs w:val="24"/>
          <w:lang w:eastAsia="zh-CN"/>
        </w:rPr>
      </w:pPr>
      <w:r>
        <w:rPr>
          <w:rFonts w:hint="eastAsia" w:eastAsiaTheme="minorEastAsia"/>
          <w:sz w:val="24"/>
          <w:szCs w:val="24"/>
          <w:lang w:eastAsia="zh-CN"/>
        </w:rPr>
        <w:t>根据市场需求，本项目分期建设，分期验收。一期工程投资280万元，主要设购置电加热锌炉1台、清砂机（履带抛丸机）2台、250kw变压器1台、行车1台、酸洗池3个（环评体积50%）、水洗池2个、助镀池1个、甩干机1台、酸雾处理设备1台、布袋除尘器+水喷淋净化塔1套。项目劳动定员20人，实行三班制，每班8小时，每天24小时，年工作300天。项目建成后年产热镀锌制品30000t/a，包括锁具10000t/a，电力铸件10000t/a，五金件10000t/a。</w:t>
      </w:r>
    </w:p>
    <w:p>
      <w:pPr>
        <w:spacing w:line="360" w:lineRule="auto"/>
        <w:ind w:firstLine="480" w:firstLineChars="200"/>
        <w:rPr>
          <w:rFonts w:eastAsiaTheme="minorEastAsia"/>
          <w:sz w:val="24"/>
          <w:szCs w:val="24"/>
        </w:rPr>
      </w:pPr>
      <w:r>
        <w:rPr>
          <w:rFonts w:eastAsiaTheme="minorEastAsia"/>
          <w:sz w:val="24"/>
          <w:szCs w:val="24"/>
        </w:rPr>
        <w:t>（二）建设过程及环保审批情况</w:t>
      </w:r>
    </w:p>
    <w:p>
      <w:pPr>
        <w:spacing w:line="360" w:lineRule="auto"/>
        <w:ind w:firstLine="480" w:firstLineChars="200"/>
        <w:rPr>
          <w:rFonts w:hint="eastAsia" w:eastAsiaTheme="minorEastAsia"/>
          <w:sz w:val="24"/>
          <w:szCs w:val="24"/>
        </w:rPr>
      </w:pPr>
      <w:r>
        <w:rPr>
          <w:rFonts w:hint="eastAsia" w:eastAsiaTheme="minorEastAsia"/>
          <w:sz w:val="24"/>
          <w:szCs w:val="24"/>
        </w:rPr>
        <w:t>2020年2月，受我公司委托，青岛三资环境技术服务有限公司对本项目进行了环境影响评价，编制完成了《青岛宏润珏金属制品有限公司新建金属制品热镀锌项目环境影响报告表》。</w:t>
      </w:r>
    </w:p>
    <w:p>
      <w:pPr>
        <w:spacing w:line="360" w:lineRule="auto"/>
        <w:ind w:firstLine="480" w:firstLineChars="200"/>
        <w:rPr>
          <w:rFonts w:hint="eastAsia" w:eastAsiaTheme="minorEastAsia"/>
          <w:sz w:val="24"/>
          <w:szCs w:val="24"/>
        </w:rPr>
      </w:pPr>
      <w:r>
        <w:rPr>
          <w:rFonts w:hint="eastAsia" w:eastAsiaTheme="minorEastAsia"/>
          <w:sz w:val="24"/>
          <w:szCs w:val="24"/>
        </w:rPr>
        <w:t>2020年4月21日，青岛市生态环境局平度分局以平环审﹝2020﹞73号文件对本项目环境影响报告表进行了批复。</w:t>
      </w:r>
    </w:p>
    <w:p>
      <w:pPr>
        <w:spacing w:line="360" w:lineRule="auto"/>
        <w:ind w:firstLine="480" w:firstLineChars="200"/>
        <w:rPr>
          <w:rFonts w:hint="eastAsia" w:eastAsiaTheme="minorEastAsia"/>
          <w:sz w:val="24"/>
          <w:szCs w:val="24"/>
        </w:rPr>
      </w:pPr>
      <w:r>
        <w:rPr>
          <w:rFonts w:hint="eastAsia" w:eastAsiaTheme="minorEastAsia"/>
          <w:sz w:val="24"/>
          <w:szCs w:val="24"/>
        </w:rPr>
        <w:t>2020年4月开工建设，2020年6月建设完成。</w:t>
      </w:r>
    </w:p>
    <w:p>
      <w:pPr>
        <w:spacing w:line="360" w:lineRule="auto"/>
        <w:ind w:firstLine="480" w:firstLineChars="200"/>
        <w:rPr>
          <w:rFonts w:eastAsiaTheme="minorEastAsia"/>
          <w:sz w:val="24"/>
          <w:szCs w:val="24"/>
        </w:rPr>
      </w:pPr>
      <w:r>
        <w:rPr>
          <w:rFonts w:eastAsiaTheme="minorEastAsia"/>
          <w:sz w:val="24"/>
          <w:szCs w:val="24"/>
        </w:rPr>
        <w:t>（三）投资情况</w:t>
      </w:r>
    </w:p>
    <w:p>
      <w:pPr>
        <w:spacing w:line="360" w:lineRule="auto"/>
        <w:ind w:firstLine="480" w:firstLineChars="200"/>
        <w:rPr>
          <w:rFonts w:hint="eastAsia" w:eastAsiaTheme="minorEastAsia"/>
          <w:sz w:val="24"/>
          <w:szCs w:val="24"/>
        </w:rPr>
      </w:pPr>
      <w:r>
        <w:rPr>
          <w:rFonts w:hint="eastAsia" w:eastAsiaTheme="minorEastAsia"/>
          <w:sz w:val="24"/>
          <w:szCs w:val="24"/>
        </w:rPr>
        <w:t>项目总投资</w:t>
      </w:r>
      <w:r>
        <w:rPr>
          <w:rFonts w:hint="eastAsia" w:eastAsiaTheme="minorEastAsia"/>
          <w:sz w:val="24"/>
          <w:szCs w:val="24"/>
          <w:lang w:val="en-US" w:eastAsia="zh-CN"/>
        </w:rPr>
        <w:t>28</w:t>
      </w:r>
      <w:r>
        <w:rPr>
          <w:rFonts w:hint="eastAsia" w:eastAsiaTheme="minorEastAsia"/>
          <w:sz w:val="24"/>
          <w:szCs w:val="24"/>
        </w:rPr>
        <w:t>0万元，其中环保投资50万元，环保投资占项目总投资的1</w:t>
      </w:r>
      <w:r>
        <w:rPr>
          <w:rFonts w:hint="eastAsia" w:eastAsiaTheme="minorEastAsia"/>
          <w:sz w:val="24"/>
          <w:szCs w:val="24"/>
          <w:lang w:val="en-US" w:eastAsia="zh-CN"/>
        </w:rPr>
        <w:t>7.9</w:t>
      </w:r>
      <w:r>
        <w:rPr>
          <w:rFonts w:hint="eastAsia" w:eastAsiaTheme="minorEastAsia"/>
          <w:sz w:val="24"/>
          <w:szCs w:val="24"/>
        </w:rPr>
        <w:t>%。</w:t>
      </w:r>
    </w:p>
    <w:p>
      <w:pPr>
        <w:spacing w:line="360" w:lineRule="auto"/>
        <w:ind w:firstLine="480" w:firstLineChars="200"/>
        <w:rPr>
          <w:rFonts w:eastAsiaTheme="minorEastAsia"/>
          <w:sz w:val="24"/>
          <w:szCs w:val="24"/>
        </w:rPr>
      </w:pPr>
      <w:r>
        <w:rPr>
          <w:rFonts w:eastAsiaTheme="minorEastAsia"/>
          <w:sz w:val="24"/>
          <w:szCs w:val="24"/>
        </w:rPr>
        <w:t>（四）验收范围</w:t>
      </w:r>
    </w:p>
    <w:p>
      <w:pPr>
        <w:spacing w:line="360" w:lineRule="auto"/>
        <w:ind w:firstLine="480" w:firstLineChars="200"/>
        <w:rPr>
          <w:rFonts w:hint="eastAsia" w:eastAsiaTheme="minorEastAsia"/>
          <w:sz w:val="24"/>
          <w:szCs w:val="24"/>
        </w:rPr>
      </w:pPr>
      <w:r>
        <w:rPr>
          <w:rFonts w:hint="eastAsia" w:eastAsiaTheme="minorEastAsia"/>
          <w:sz w:val="24"/>
          <w:szCs w:val="24"/>
        </w:rPr>
        <w:t>本次验收仅针对一期工程。</w:t>
      </w:r>
    </w:p>
    <w:p>
      <w:pPr>
        <w:spacing w:line="360" w:lineRule="auto"/>
        <w:ind w:firstLine="482" w:firstLineChars="200"/>
        <w:rPr>
          <w:rFonts w:eastAsiaTheme="minorEastAsia"/>
          <w:b/>
          <w:sz w:val="24"/>
          <w:szCs w:val="24"/>
        </w:rPr>
      </w:pPr>
      <w:r>
        <w:rPr>
          <w:rFonts w:eastAsiaTheme="minorEastAsia"/>
          <w:b/>
          <w:sz w:val="24"/>
          <w:szCs w:val="24"/>
        </w:rPr>
        <w:t>二、项目变动情况</w:t>
      </w:r>
    </w:p>
    <w:p>
      <w:pPr>
        <w:spacing w:line="360" w:lineRule="auto"/>
        <w:ind w:firstLine="480" w:firstLineChars="200"/>
        <w:rPr>
          <w:rFonts w:hint="eastAsia" w:eastAsiaTheme="minorEastAsia"/>
          <w:sz w:val="24"/>
          <w:szCs w:val="24"/>
        </w:rPr>
      </w:pPr>
      <w:r>
        <w:rPr>
          <w:rFonts w:hint="eastAsia" w:eastAsiaTheme="minorEastAsia"/>
          <w:sz w:val="24"/>
          <w:szCs w:val="24"/>
        </w:rPr>
        <w:t>项目</w:t>
      </w:r>
      <w:r>
        <w:rPr>
          <w:rFonts w:hint="eastAsia" w:eastAsiaTheme="minorEastAsia"/>
          <w:sz w:val="24"/>
          <w:szCs w:val="24"/>
          <w:lang w:val="en-US" w:eastAsia="zh-CN"/>
        </w:rPr>
        <w:t>分期</w:t>
      </w:r>
      <w:r>
        <w:rPr>
          <w:rFonts w:hint="eastAsia" w:eastAsiaTheme="minorEastAsia"/>
          <w:sz w:val="24"/>
          <w:szCs w:val="24"/>
        </w:rPr>
        <w:t>建设</w:t>
      </w:r>
      <w:r>
        <w:rPr>
          <w:rFonts w:hint="eastAsia" w:eastAsiaTheme="minorEastAsia"/>
          <w:sz w:val="24"/>
          <w:szCs w:val="24"/>
          <w:lang w:val="en-US" w:eastAsia="zh-CN"/>
        </w:rPr>
        <w:t>分期验收，不属于重大变动</w:t>
      </w:r>
      <w:r>
        <w:rPr>
          <w:rFonts w:hint="eastAsia" w:eastAsiaTheme="minorEastAsia"/>
          <w:sz w:val="24"/>
          <w:szCs w:val="24"/>
        </w:rPr>
        <w:t>。</w:t>
      </w:r>
    </w:p>
    <w:p>
      <w:pPr>
        <w:spacing w:line="360" w:lineRule="auto"/>
        <w:ind w:firstLine="482" w:firstLineChars="200"/>
        <w:rPr>
          <w:rFonts w:eastAsiaTheme="minorEastAsia"/>
          <w:b/>
          <w:sz w:val="24"/>
          <w:szCs w:val="24"/>
        </w:rPr>
      </w:pPr>
      <w:r>
        <w:rPr>
          <w:rFonts w:eastAsiaTheme="minorEastAsia"/>
          <w:b/>
          <w:sz w:val="24"/>
          <w:szCs w:val="24"/>
        </w:rPr>
        <w:t>三、环境保护设施建设情况</w:t>
      </w:r>
    </w:p>
    <w:p>
      <w:pPr>
        <w:spacing w:line="360" w:lineRule="auto"/>
        <w:ind w:firstLine="480" w:firstLineChars="200"/>
        <w:rPr>
          <w:rFonts w:eastAsiaTheme="minorEastAsia"/>
          <w:sz w:val="24"/>
          <w:szCs w:val="24"/>
        </w:rPr>
      </w:pPr>
      <w:r>
        <w:rPr>
          <w:rFonts w:eastAsiaTheme="minorEastAsia"/>
          <w:sz w:val="24"/>
          <w:szCs w:val="24"/>
        </w:rPr>
        <w:t>（一）废水</w:t>
      </w:r>
    </w:p>
    <w:p>
      <w:pPr>
        <w:spacing w:line="360" w:lineRule="auto"/>
        <w:ind w:firstLine="480" w:firstLineChars="200"/>
        <w:rPr>
          <w:rFonts w:hint="eastAsia" w:eastAsiaTheme="minorEastAsia"/>
          <w:sz w:val="24"/>
          <w:szCs w:val="24"/>
        </w:rPr>
      </w:pPr>
      <w:r>
        <w:rPr>
          <w:rFonts w:hint="eastAsia" w:eastAsiaTheme="minorEastAsia"/>
          <w:sz w:val="24"/>
          <w:szCs w:val="24"/>
        </w:rPr>
        <w:t>本项目无生产废水产生，废水主要为职工生活污水。</w:t>
      </w:r>
    </w:p>
    <w:p>
      <w:pPr>
        <w:spacing w:line="360" w:lineRule="auto"/>
        <w:ind w:firstLine="480" w:firstLineChars="200"/>
        <w:rPr>
          <w:rFonts w:hint="eastAsia" w:eastAsiaTheme="minorEastAsia"/>
          <w:sz w:val="24"/>
          <w:szCs w:val="24"/>
        </w:rPr>
      </w:pPr>
      <w:r>
        <w:rPr>
          <w:rFonts w:hint="eastAsia" w:eastAsiaTheme="minorEastAsia"/>
          <w:sz w:val="24"/>
          <w:szCs w:val="24"/>
        </w:rPr>
        <w:t>职工生活污水经化粪池处理后，经市政污水管网排入国电银河水务（青岛南村）有限公司处理。</w:t>
      </w:r>
    </w:p>
    <w:p>
      <w:pPr>
        <w:spacing w:line="360" w:lineRule="auto"/>
        <w:ind w:firstLine="480" w:firstLineChars="200"/>
        <w:rPr>
          <w:rFonts w:hint="eastAsia" w:eastAsiaTheme="minorEastAsia"/>
          <w:sz w:val="24"/>
          <w:szCs w:val="24"/>
        </w:rPr>
      </w:pPr>
      <w:r>
        <w:rPr>
          <w:rFonts w:hint="eastAsia" w:eastAsiaTheme="minorEastAsia"/>
          <w:sz w:val="24"/>
          <w:szCs w:val="24"/>
        </w:rPr>
        <w:t>车间重点防渗区、化粪池及所有与污水输运、贮存、处理等有关构筑物的建设已进行防渗漏、防腐处理，防止污染土壤及地下水。</w:t>
      </w:r>
    </w:p>
    <w:p>
      <w:pPr>
        <w:spacing w:line="360" w:lineRule="auto"/>
        <w:ind w:firstLine="480" w:firstLineChars="200"/>
        <w:rPr>
          <w:rFonts w:eastAsiaTheme="minorEastAsia"/>
          <w:sz w:val="24"/>
          <w:szCs w:val="24"/>
        </w:rPr>
      </w:pPr>
      <w:r>
        <w:rPr>
          <w:rFonts w:eastAsiaTheme="minorEastAsia"/>
          <w:sz w:val="24"/>
          <w:szCs w:val="24"/>
        </w:rPr>
        <w:t>（二）废气</w:t>
      </w:r>
    </w:p>
    <w:p>
      <w:pPr>
        <w:spacing w:line="360" w:lineRule="auto"/>
        <w:ind w:firstLine="480" w:firstLineChars="200"/>
        <w:rPr>
          <w:rFonts w:hint="eastAsia" w:eastAsiaTheme="minorEastAsia"/>
          <w:sz w:val="24"/>
          <w:szCs w:val="24"/>
        </w:rPr>
      </w:pPr>
      <w:r>
        <w:rPr>
          <w:rFonts w:hint="eastAsia" w:eastAsiaTheme="minorEastAsia"/>
          <w:sz w:val="24"/>
          <w:szCs w:val="24"/>
        </w:rPr>
        <w:t>酸洗废气经收集，酸雾净化塔处理后，通过1根15米的排气筒（P1）排放；</w:t>
      </w:r>
    </w:p>
    <w:p>
      <w:pPr>
        <w:spacing w:line="360" w:lineRule="auto"/>
        <w:ind w:firstLine="480" w:firstLineChars="200"/>
        <w:rPr>
          <w:rFonts w:hint="eastAsia" w:eastAsiaTheme="minorEastAsia"/>
          <w:sz w:val="24"/>
          <w:szCs w:val="24"/>
        </w:rPr>
      </w:pPr>
      <w:r>
        <w:rPr>
          <w:rFonts w:hint="eastAsia" w:eastAsiaTheme="minorEastAsia"/>
          <w:sz w:val="24"/>
          <w:szCs w:val="24"/>
        </w:rPr>
        <w:t>热镀锌废气收集后，经“布袋除尘器+水喷淋净化塔”处理，通过1根高度15米的排气筒（P2）排放；</w:t>
      </w:r>
    </w:p>
    <w:p>
      <w:pPr>
        <w:spacing w:line="360" w:lineRule="auto"/>
        <w:ind w:firstLine="480" w:firstLineChars="200"/>
        <w:rPr>
          <w:rFonts w:hint="eastAsia" w:eastAsiaTheme="minorEastAsia"/>
          <w:sz w:val="24"/>
          <w:szCs w:val="24"/>
        </w:rPr>
      </w:pPr>
      <w:r>
        <w:rPr>
          <w:rFonts w:hint="eastAsia" w:eastAsiaTheme="minorEastAsia"/>
          <w:sz w:val="24"/>
          <w:szCs w:val="24"/>
        </w:rPr>
        <w:t>抛丸粉尘收集后，经自带布袋除尘器处理，通过1根高度15米的排气筒（P3）排放。</w:t>
      </w:r>
    </w:p>
    <w:p>
      <w:pPr>
        <w:spacing w:line="360" w:lineRule="auto"/>
        <w:ind w:firstLine="480" w:firstLineChars="200"/>
        <w:rPr>
          <w:rFonts w:eastAsiaTheme="minorEastAsia"/>
          <w:sz w:val="24"/>
          <w:szCs w:val="24"/>
        </w:rPr>
      </w:pPr>
      <w:r>
        <w:rPr>
          <w:rFonts w:eastAsiaTheme="minorEastAsia"/>
          <w:sz w:val="24"/>
          <w:szCs w:val="24"/>
        </w:rPr>
        <w:t>项目无组织废气主要是</w:t>
      </w:r>
      <w:r>
        <w:rPr>
          <w:rFonts w:hint="eastAsia" w:eastAsiaTheme="minorEastAsia"/>
          <w:sz w:val="24"/>
          <w:szCs w:val="24"/>
        </w:rPr>
        <w:t>未经集气系统收集的酸雾</w:t>
      </w:r>
      <w:r>
        <w:rPr>
          <w:rFonts w:eastAsiaTheme="minorEastAsia"/>
          <w:sz w:val="24"/>
          <w:szCs w:val="24"/>
        </w:rPr>
        <w:t>。</w:t>
      </w:r>
    </w:p>
    <w:p>
      <w:pPr>
        <w:spacing w:line="360" w:lineRule="auto"/>
        <w:ind w:firstLine="480" w:firstLineChars="200"/>
        <w:rPr>
          <w:rFonts w:eastAsiaTheme="minorEastAsia"/>
          <w:sz w:val="24"/>
          <w:szCs w:val="24"/>
        </w:rPr>
      </w:pPr>
      <w:r>
        <w:rPr>
          <w:rFonts w:eastAsiaTheme="minorEastAsia"/>
          <w:sz w:val="24"/>
          <w:szCs w:val="24"/>
        </w:rPr>
        <w:t>（三）噪声</w:t>
      </w:r>
    </w:p>
    <w:p>
      <w:pPr>
        <w:spacing w:line="360" w:lineRule="auto"/>
        <w:ind w:firstLine="480" w:firstLineChars="200"/>
        <w:rPr>
          <w:rFonts w:hint="eastAsia" w:eastAsiaTheme="minorEastAsia"/>
          <w:sz w:val="24"/>
          <w:szCs w:val="24"/>
        </w:rPr>
      </w:pPr>
      <w:r>
        <w:rPr>
          <w:rFonts w:hint="eastAsia" w:eastAsiaTheme="minorEastAsia"/>
          <w:sz w:val="24"/>
          <w:szCs w:val="24"/>
        </w:rPr>
        <w:t>本项目噪声主要为生产车间内的行车、甩干机、清砂机、风机等设备的运行噪声。企业通过选用低噪声设备，合理布局，采取减振、消音、隔声等措施降低噪声的影响。</w:t>
      </w:r>
    </w:p>
    <w:p>
      <w:pPr>
        <w:spacing w:line="360" w:lineRule="auto"/>
        <w:ind w:firstLine="480" w:firstLineChars="200"/>
        <w:rPr>
          <w:rFonts w:eastAsiaTheme="minorEastAsia"/>
          <w:sz w:val="24"/>
          <w:szCs w:val="24"/>
        </w:rPr>
      </w:pPr>
      <w:r>
        <w:rPr>
          <w:rFonts w:eastAsiaTheme="minorEastAsia"/>
          <w:sz w:val="24"/>
          <w:szCs w:val="24"/>
        </w:rPr>
        <w:t>（四）固废</w:t>
      </w:r>
    </w:p>
    <w:p>
      <w:pPr>
        <w:spacing w:line="360" w:lineRule="auto"/>
        <w:ind w:firstLine="480" w:firstLineChars="200"/>
        <w:rPr>
          <w:rFonts w:hint="eastAsia" w:eastAsiaTheme="minorEastAsia"/>
          <w:sz w:val="24"/>
          <w:szCs w:val="24"/>
        </w:rPr>
      </w:pPr>
      <w:r>
        <w:rPr>
          <w:rFonts w:hint="eastAsia" w:eastAsiaTheme="minorEastAsia"/>
          <w:sz w:val="24"/>
          <w:szCs w:val="24"/>
        </w:rPr>
        <w:t>本项目营运期固废主要为废酸液及槽渣；助镀污泥；热镀锌锌渣、锌灰（主要为金属锌、氧化锌、氯化锌等）；锌烟水喷淋塔污泥；抛丸过程中产生的碎丸及铁锈；除尘器回收粉尘以及职工生活垃圾。</w:t>
      </w:r>
    </w:p>
    <w:p>
      <w:pPr>
        <w:spacing w:line="360" w:lineRule="auto"/>
        <w:ind w:firstLine="480" w:firstLineChars="200"/>
        <w:rPr>
          <w:rFonts w:hint="eastAsia" w:eastAsiaTheme="minorEastAsia"/>
          <w:sz w:val="24"/>
          <w:szCs w:val="24"/>
        </w:rPr>
      </w:pPr>
      <w:r>
        <w:rPr>
          <w:rFonts w:hint="eastAsia" w:eastAsiaTheme="minorEastAsia"/>
          <w:sz w:val="24"/>
          <w:szCs w:val="24"/>
        </w:rPr>
        <w:t>（1）一般固体废物主要有热镀锌锌渣、抛丸过程中产生的碎丸及铁锈、除尘器回收粉尘。项目设置一般固废暂存处，热镀锌锌渣、抛丸过程中产生的碎丸及铁锈、除尘器回收粉尘收集后外卖综合利用。</w:t>
      </w:r>
    </w:p>
    <w:p>
      <w:pPr>
        <w:spacing w:line="360" w:lineRule="auto"/>
        <w:ind w:firstLine="480" w:firstLineChars="200"/>
        <w:rPr>
          <w:rFonts w:hint="eastAsia" w:eastAsiaTheme="minorEastAsia"/>
          <w:sz w:val="24"/>
          <w:szCs w:val="24"/>
        </w:rPr>
      </w:pPr>
      <w:r>
        <w:rPr>
          <w:rFonts w:hint="eastAsia" w:eastAsiaTheme="minorEastAsia"/>
          <w:sz w:val="24"/>
          <w:szCs w:val="24"/>
        </w:rPr>
        <w:t>（2）危险废物主要有废酸液及槽渣、助镀污泥、热镀锌锌灰、锌烟水喷淋塔污泥。均暂存于危险废物暂存库，定期委托有资质的单位处理。</w:t>
      </w:r>
    </w:p>
    <w:p>
      <w:pPr>
        <w:spacing w:line="360" w:lineRule="auto"/>
        <w:ind w:firstLine="480" w:firstLineChars="200"/>
        <w:rPr>
          <w:rFonts w:hint="eastAsia" w:eastAsiaTheme="minorEastAsia"/>
          <w:sz w:val="24"/>
          <w:szCs w:val="24"/>
        </w:rPr>
      </w:pPr>
      <w:r>
        <w:rPr>
          <w:rFonts w:hint="eastAsia" w:eastAsiaTheme="minorEastAsia"/>
          <w:sz w:val="24"/>
          <w:szCs w:val="24"/>
        </w:rPr>
        <w:t>项目职工的生活垃圾由环卫部门定期清运。</w:t>
      </w:r>
    </w:p>
    <w:p>
      <w:pPr>
        <w:spacing w:line="360" w:lineRule="auto"/>
        <w:ind w:firstLine="480" w:firstLineChars="200"/>
        <w:rPr>
          <w:rFonts w:eastAsiaTheme="minorEastAsia"/>
          <w:sz w:val="24"/>
          <w:szCs w:val="24"/>
        </w:rPr>
      </w:pPr>
      <w:r>
        <w:rPr>
          <w:rFonts w:eastAsiaTheme="minorEastAsia"/>
          <w:sz w:val="24"/>
          <w:szCs w:val="24"/>
        </w:rPr>
        <w:t>（五）环境风险</w:t>
      </w:r>
    </w:p>
    <w:p>
      <w:pPr>
        <w:spacing w:line="360" w:lineRule="auto"/>
        <w:ind w:firstLine="480" w:firstLineChars="200"/>
        <w:rPr>
          <w:rFonts w:eastAsiaTheme="minorEastAsia"/>
          <w:sz w:val="24"/>
          <w:szCs w:val="24"/>
        </w:rPr>
      </w:pPr>
      <w:r>
        <w:rPr>
          <w:rFonts w:eastAsiaTheme="minorEastAsia"/>
          <w:sz w:val="24"/>
          <w:szCs w:val="24"/>
        </w:rPr>
        <w:t>企业</w:t>
      </w:r>
      <w:r>
        <w:rPr>
          <w:rFonts w:hint="eastAsia" w:eastAsiaTheme="minorEastAsia"/>
          <w:sz w:val="24"/>
          <w:szCs w:val="24"/>
          <w:lang w:val="en-US" w:eastAsia="zh-CN"/>
        </w:rPr>
        <w:t>编制了</w:t>
      </w:r>
      <w:r>
        <w:rPr>
          <w:rFonts w:eastAsiaTheme="minorEastAsia"/>
          <w:sz w:val="24"/>
          <w:szCs w:val="24"/>
        </w:rPr>
        <w:t>《</w:t>
      </w:r>
      <w:r>
        <w:rPr>
          <w:rFonts w:hint="eastAsia" w:eastAsiaTheme="minorEastAsia"/>
          <w:sz w:val="24"/>
          <w:szCs w:val="24"/>
          <w:lang w:eastAsia="zh-CN"/>
        </w:rPr>
        <w:t>青岛宏润珏金属制品有限公司</w:t>
      </w:r>
      <w:r>
        <w:rPr>
          <w:rFonts w:eastAsiaTheme="minorEastAsia"/>
          <w:sz w:val="24"/>
          <w:szCs w:val="24"/>
        </w:rPr>
        <w:t>突发环事件应急预案》，并在当地环保部门备案</w:t>
      </w:r>
      <w:r>
        <w:rPr>
          <w:rFonts w:hint="eastAsia" w:eastAsiaTheme="minorEastAsia"/>
          <w:sz w:val="24"/>
          <w:szCs w:val="24"/>
        </w:rPr>
        <w:t>（备案编号：370283-20200804-238-L）</w:t>
      </w:r>
      <w:r>
        <w:rPr>
          <w:rFonts w:eastAsiaTheme="minorEastAsia"/>
          <w:sz w:val="24"/>
          <w:szCs w:val="24"/>
        </w:rPr>
        <w:t>。</w:t>
      </w:r>
    </w:p>
    <w:p>
      <w:pPr>
        <w:spacing w:line="360" w:lineRule="auto"/>
        <w:ind w:firstLine="482" w:firstLineChars="200"/>
        <w:rPr>
          <w:rFonts w:eastAsiaTheme="minorEastAsia"/>
          <w:b/>
          <w:sz w:val="24"/>
          <w:szCs w:val="24"/>
        </w:rPr>
      </w:pPr>
      <w:r>
        <w:rPr>
          <w:rFonts w:eastAsiaTheme="minorEastAsia"/>
          <w:b/>
          <w:sz w:val="24"/>
          <w:szCs w:val="24"/>
        </w:rPr>
        <w:t>四、环保措施调试效果</w:t>
      </w:r>
    </w:p>
    <w:p>
      <w:pPr>
        <w:spacing w:line="360" w:lineRule="auto"/>
        <w:ind w:firstLine="480" w:firstLineChars="200"/>
        <w:rPr>
          <w:rFonts w:eastAsiaTheme="minorEastAsia"/>
          <w:sz w:val="24"/>
          <w:szCs w:val="24"/>
        </w:rPr>
      </w:pPr>
      <w:r>
        <w:rPr>
          <w:rFonts w:hint="eastAsia" w:eastAsiaTheme="minorEastAsia"/>
          <w:sz w:val="24"/>
          <w:szCs w:val="24"/>
          <w:lang w:eastAsia="zh-CN"/>
        </w:rPr>
        <w:t>青岛宏润珏金属制品有限公司</w:t>
      </w:r>
      <w:r>
        <w:rPr>
          <w:rFonts w:eastAsiaTheme="minorEastAsia"/>
          <w:sz w:val="24"/>
          <w:szCs w:val="24"/>
        </w:rPr>
        <w:t>验收监测报告表明，验收监测期间：</w:t>
      </w:r>
    </w:p>
    <w:p>
      <w:pPr>
        <w:spacing w:line="360" w:lineRule="auto"/>
        <w:ind w:firstLine="480" w:firstLineChars="200"/>
        <w:rPr>
          <w:rFonts w:hint="eastAsia" w:eastAsiaTheme="minorEastAsia"/>
          <w:sz w:val="24"/>
          <w:szCs w:val="24"/>
        </w:rPr>
      </w:pPr>
      <w:r>
        <w:rPr>
          <w:rFonts w:hint="eastAsia" w:eastAsiaTheme="minorEastAsia"/>
          <w:sz w:val="24"/>
          <w:szCs w:val="24"/>
        </w:rPr>
        <w:t>验收监测期间，热镀锌废气排气筒P1处理后中颗粒物排放浓度满足《区域性大气污染物综合排放标准》（DB37/2376-2019）表1中重点控制区大气污染物排放浓度限值要求；排放速率满足《大气污染物综合排放标准》（GB16297-1996）表2中二级标准；氨排放满足《恶臭污染物排放标准》（GB14554-93）表2标准；</w:t>
      </w:r>
    </w:p>
    <w:p>
      <w:pPr>
        <w:spacing w:line="360" w:lineRule="auto"/>
        <w:ind w:firstLine="480" w:firstLineChars="200"/>
        <w:rPr>
          <w:rFonts w:hint="eastAsia" w:eastAsiaTheme="minorEastAsia"/>
          <w:sz w:val="24"/>
          <w:szCs w:val="24"/>
        </w:rPr>
      </w:pPr>
      <w:r>
        <w:rPr>
          <w:rFonts w:hint="eastAsia" w:eastAsiaTheme="minorEastAsia"/>
          <w:sz w:val="24"/>
          <w:szCs w:val="24"/>
        </w:rPr>
        <w:t>酸雾废气排气筒P2处理后中氯化氢排放满足《大气污染物综合排放标准》（GB16297-1996）表2中二级标准；</w:t>
      </w:r>
    </w:p>
    <w:p>
      <w:pPr>
        <w:spacing w:line="360" w:lineRule="auto"/>
        <w:ind w:firstLine="480" w:firstLineChars="200"/>
        <w:rPr>
          <w:rFonts w:hint="eastAsia" w:eastAsiaTheme="minorEastAsia"/>
          <w:sz w:val="24"/>
          <w:szCs w:val="24"/>
        </w:rPr>
      </w:pPr>
      <w:r>
        <w:rPr>
          <w:rFonts w:hint="eastAsia" w:eastAsiaTheme="minorEastAsia"/>
          <w:sz w:val="24"/>
          <w:szCs w:val="24"/>
        </w:rPr>
        <w:t>抛丸废气排气筒P3处理后中颗粒物排放浓度满足《区域性大气污染物综合排放标准》（DB37/2376-2019）表1中重点控制区大气污染物排放浓度限值要求；排放速率满足《大气污染物综合排放标准》（GB16297-1996）表2中二级标准。</w:t>
      </w:r>
    </w:p>
    <w:p>
      <w:pPr>
        <w:spacing w:line="360" w:lineRule="auto"/>
        <w:ind w:firstLine="480" w:firstLineChars="200"/>
        <w:rPr>
          <w:rFonts w:hint="eastAsia" w:eastAsiaTheme="minorEastAsia"/>
          <w:sz w:val="24"/>
          <w:szCs w:val="24"/>
        </w:rPr>
      </w:pPr>
      <w:r>
        <w:rPr>
          <w:rFonts w:hint="eastAsia" w:eastAsiaTheme="minorEastAsia"/>
          <w:sz w:val="24"/>
          <w:szCs w:val="24"/>
        </w:rPr>
        <w:t>无组织排放废气厂界监控点颗粒物、氯化氢满足《大气污染物综合排放标准》（GB16297-1996）表2无组织排放监控浓度限值要求；臭气浓度、氨满足《恶臭污染物排放标准》（GB14554-93）表1中二级新建排放标准。</w:t>
      </w:r>
    </w:p>
    <w:p>
      <w:pPr>
        <w:spacing w:line="360" w:lineRule="auto"/>
        <w:ind w:firstLine="480" w:firstLineChars="200"/>
        <w:rPr>
          <w:rFonts w:hint="eastAsia" w:eastAsiaTheme="minorEastAsia"/>
          <w:sz w:val="24"/>
          <w:szCs w:val="24"/>
        </w:rPr>
      </w:pPr>
      <w:r>
        <w:rPr>
          <w:rFonts w:hint="eastAsia" w:eastAsiaTheme="minorEastAsia"/>
          <w:sz w:val="24"/>
          <w:szCs w:val="24"/>
        </w:rPr>
        <w:t>厂界昼夜噪声满足《工业企业厂界环境噪声排放标准》（GB12348-2008）表1中3类声环境功能区标准要求。</w:t>
      </w:r>
    </w:p>
    <w:p>
      <w:pPr>
        <w:spacing w:line="360" w:lineRule="auto"/>
        <w:ind w:firstLine="482" w:firstLineChars="200"/>
        <w:rPr>
          <w:rFonts w:eastAsiaTheme="minorEastAsia"/>
          <w:b/>
          <w:sz w:val="24"/>
          <w:szCs w:val="24"/>
        </w:rPr>
      </w:pPr>
      <w:r>
        <w:rPr>
          <w:rFonts w:eastAsiaTheme="minorEastAsia"/>
          <w:b/>
          <w:sz w:val="24"/>
          <w:szCs w:val="24"/>
        </w:rPr>
        <w:t>五、验收结论</w:t>
      </w:r>
    </w:p>
    <w:p>
      <w:pPr>
        <w:spacing w:line="360" w:lineRule="auto"/>
        <w:ind w:firstLine="480" w:firstLineChars="200"/>
        <w:rPr>
          <w:rFonts w:eastAsiaTheme="minorEastAsia"/>
          <w:sz w:val="24"/>
          <w:szCs w:val="24"/>
        </w:rPr>
      </w:pPr>
      <w:r>
        <w:rPr>
          <w:rFonts w:eastAsiaTheme="minorEastAsia"/>
          <w:sz w:val="24"/>
          <w:szCs w:val="24"/>
        </w:rPr>
        <w:t>项目已按环评和批复要求完成“三同时”建设，无重大变动，污染物达标排放，验收监测报告结论可信，验收合格。</w:t>
      </w:r>
    </w:p>
    <w:p>
      <w:pPr>
        <w:spacing w:line="360" w:lineRule="auto"/>
        <w:ind w:firstLine="482" w:firstLineChars="200"/>
        <w:rPr>
          <w:rFonts w:eastAsiaTheme="minorEastAsia"/>
          <w:b/>
          <w:sz w:val="24"/>
          <w:szCs w:val="24"/>
        </w:rPr>
      </w:pPr>
      <w:r>
        <w:rPr>
          <w:rFonts w:eastAsiaTheme="minorEastAsia"/>
          <w:b/>
          <w:sz w:val="24"/>
          <w:szCs w:val="24"/>
        </w:rPr>
        <w:t>六、后续要求</w:t>
      </w:r>
    </w:p>
    <w:p>
      <w:pPr>
        <w:spacing w:line="360" w:lineRule="auto"/>
        <w:ind w:firstLine="480" w:firstLineChars="200"/>
        <w:rPr>
          <w:rFonts w:eastAsiaTheme="minorEastAsia"/>
          <w:sz w:val="24"/>
          <w:szCs w:val="24"/>
        </w:rPr>
      </w:pPr>
      <w:r>
        <w:rPr>
          <w:rFonts w:eastAsiaTheme="minorEastAsia"/>
          <w:sz w:val="24"/>
          <w:szCs w:val="24"/>
        </w:rPr>
        <w:t>1、按照《排污单位自行监测技术指南-总则》(HJ819-2017)要求，自主组织进行污染源监测，并做好记录。</w:t>
      </w:r>
    </w:p>
    <w:p>
      <w:pPr>
        <w:spacing w:line="360" w:lineRule="auto"/>
        <w:ind w:firstLine="480" w:firstLineChars="200"/>
        <w:rPr>
          <w:rFonts w:hint="eastAsia" w:eastAsiaTheme="minorEastAsia"/>
          <w:sz w:val="24"/>
          <w:szCs w:val="24"/>
          <w:lang w:val="en-US" w:eastAsia="zh-CN"/>
        </w:rPr>
      </w:pPr>
      <w:r>
        <w:rPr>
          <w:rFonts w:hint="eastAsia" w:eastAsiaTheme="minorEastAsia"/>
          <w:sz w:val="24"/>
          <w:szCs w:val="24"/>
          <w:lang w:val="en-US" w:eastAsia="zh-CN"/>
        </w:rPr>
        <w:t>2、尽快办理排污许可手续。</w:t>
      </w:r>
    </w:p>
    <w:p>
      <w:pPr>
        <w:spacing w:line="360" w:lineRule="auto"/>
        <w:ind w:firstLine="480" w:firstLineChars="200"/>
        <w:rPr>
          <w:rFonts w:hint="eastAsia" w:eastAsiaTheme="minorEastAsia"/>
          <w:sz w:val="24"/>
          <w:szCs w:val="24"/>
          <w:lang w:val="en-US" w:eastAsia="zh-CN"/>
        </w:rPr>
      </w:pPr>
      <w:r>
        <w:rPr>
          <w:rFonts w:hint="eastAsia" w:eastAsiaTheme="minorEastAsia"/>
          <w:sz w:val="24"/>
          <w:szCs w:val="24"/>
          <w:lang w:val="en-US" w:eastAsia="zh-CN"/>
        </w:rPr>
        <w:t>3、定期组织应急培训与演练，提高应急响应能力，降低环境事故风险。</w:t>
      </w:r>
    </w:p>
    <w:p>
      <w:pPr>
        <w:spacing w:line="360" w:lineRule="auto"/>
        <w:ind w:firstLine="480" w:firstLineChars="200"/>
        <w:rPr>
          <w:rFonts w:hint="eastAsia" w:eastAsiaTheme="minorEastAsia"/>
          <w:sz w:val="24"/>
          <w:szCs w:val="24"/>
          <w:lang w:val="en-US" w:eastAsia="zh-CN"/>
        </w:rPr>
        <w:sectPr>
          <w:footerReference r:id="rId3" w:type="default"/>
          <w:pgSz w:w="11906" w:h="16838"/>
          <w:pgMar w:top="1440" w:right="1797" w:bottom="1440" w:left="1797" w:header="709" w:footer="709" w:gutter="0"/>
          <w:cols w:space="425" w:num="1"/>
          <w:docGrid w:linePitch="360" w:charSpace="0"/>
        </w:sectPr>
      </w:pPr>
    </w:p>
    <w:p>
      <w:pPr>
        <w:spacing w:line="360" w:lineRule="auto"/>
        <w:ind w:firstLine="482" w:firstLineChars="200"/>
        <w:rPr>
          <w:rFonts w:eastAsiaTheme="minorEastAsia"/>
          <w:b/>
          <w:sz w:val="24"/>
          <w:szCs w:val="24"/>
        </w:rPr>
      </w:pPr>
      <w:r>
        <w:rPr>
          <w:rFonts w:eastAsiaTheme="minorEastAsia"/>
          <w:b/>
          <w:sz w:val="24"/>
          <w:szCs w:val="24"/>
        </w:rPr>
        <w:t>七、验收人员信息</w:t>
      </w:r>
    </w:p>
    <w:tbl>
      <w:tblPr>
        <w:tblStyle w:val="8"/>
        <w:tblW w:w="5499" w:type="pct"/>
        <w:jc w:val="center"/>
        <w:tblLayout w:type="fixed"/>
        <w:tblCellMar>
          <w:top w:w="0" w:type="dxa"/>
          <w:left w:w="51" w:type="dxa"/>
          <w:bottom w:w="0" w:type="dxa"/>
          <w:right w:w="51" w:type="dxa"/>
        </w:tblCellMar>
      </w:tblPr>
      <w:tblGrid>
        <w:gridCol w:w="608"/>
        <w:gridCol w:w="1163"/>
        <w:gridCol w:w="944"/>
        <w:gridCol w:w="3411"/>
        <w:gridCol w:w="1180"/>
        <w:gridCol w:w="1949"/>
      </w:tblGrid>
      <w:tr>
        <w:tblPrEx>
          <w:tblCellMar>
            <w:top w:w="0" w:type="dxa"/>
            <w:left w:w="51" w:type="dxa"/>
            <w:bottom w:w="0" w:type="dxa"/>
            <w:right w:w="51" w:type="dxa"/>
          </w:tblCellMar>
        </w:tblPrEx>
        <w:trPr>
          <w:trHeight w:val="737" w:hRule="atLeast"/>
          <w:jc w:val="center"/>
        </w:trPr>
        <w:tc>
          <w:tcPr>
            <w:tcW w:w="177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b/>
                <w:bCs/>
                <w:snapToGrid w:val="0"/>
                <w:kern w:val="0"/>
                <w:sz w:val="24"/>
                <w:szCs w:val="24"/>
              </w:rPr>
              <w:t>验收组</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b/>
                <w:bCs/>
                <w:snapToGrid w:val="0"/>
                <w:kern w:val="0"/>
                <w:sz w:val="24"/>
                <w:szCs w:val="24"/>
              </w:rPr>
              <w:t>姓  名</w:t>
            </w:r>
          </w:p>
        </w:tc>
        <w:tc>
          <w:tcPr>
            <w:tcW w:w="341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b/>
                <w:bCs/>
                <w:snapToGrid w:val="0"/>
                <w:kern w:val="0"/>
                <w:sz w:val="24"/>
                <w:szCs w:val="24"/>
              </w:rPr>
              <w:t>单      位</w:t>
            </w:r>
          </w:p>
        </w:tc>
        <w:tc>
          <w:tcPr>
            <w:tcW w:w="118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b/>
                <w:bCs/>
                <w:snapToGrid w:val="0"/>
                <w:kern w:val="0"/>
                <w:sz w:val="24"/>
                <w:szCs w:val="24"/>
              </w:rPr>
              <w:t>职务/</w:t>
            </w:r>
          </w:p>
          <w:p>
            <w:pPr>
              <w:snapToGrid w:val="0"/>
              <w:spacing w:before="120" w:beforeLines="50" w:line="276" w:lineRule="auto"/>
              <w:jc w:val="center"/>
              <w:rPr>
                <w:sz w:val="24"/>
                <w:szCs w:val="24"/>
              </w:rPr>
            </w:pPr>
            <w:r>
              <w:rPr>
                <w:b/>
                <w:bCs/>
                <w:snapToGrid w:val="0"/>
                <w:kern w:val="0"/>
                <w:sz w:val="24"/>
                <w:szCs w:val="24"/>
              </w:rPr>
              <w:t>职称</w:t>
            </w:r>
          </w:p>
        </w:tc>
        <w:tc>
          <w:tcPr>
            <w:tcW w:w="1949"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b/>
                <w:bCs/>
                <w:snapToGrid w:val="0"/>
                <w:kern w:val="0"/>
                <w:sz w:val="24"/>
                <w:szCs w:val="24"/>
              </w:rPr>
              <w:t>签  名</w:t>
            </w:r>
          </w:p>
        </w:tc>
      </w:tr>
      <w:tr>
        <w:tblPrEx>
          <w:tblCellMar>
            <w:top w:w="0" w:type="dxa"/>
            <w:left w:w="51" w:type="dxa"/>
            <w:bottom w:w="0" w:type="dxa"/>
            <w:right w:w="51" w:type="dxa"/>
          </w:tblCellMar>
        </w:tblPrEx>
        <w:trPr>
          <w:trHeight w:val="737" w:hRule="atLeast"/>
          <w:jc w:val="center"/>
        </w:trPr>
        <w:tc>
          <w:tcPr>
            <w:tcW w:w="608"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snapToGrid w:val="0"/>
                <w:kern w:val="0"/>
                <w:sz w:val="24"/>
                <w:szCs w:val="24"/>
              </w:rPr>
              <w:t>组长</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snapToGrid w:val="0"/>
                <w:kern w:val="0"/>
                <w:sz w:val="24"/>
                <w:szCs w:val="24"/>
              </w:rPr>
              <w:t>建设单位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rFonts w:hint="eastAsia" w:ascii="Times New Roman" w:hAnsi="Times New Roman" w:eastAsia="宋体" w:cs="Times New Roman"/>
                <w:snapToGrid w:val="0"/>
                <w:kern w:val="0"/>
                <w:sz w:val="24"/>
                <w:szCs w:val="24"/>
                <w:lang w:val="en-US" w:eastAsia="zh-CN" w:bidi="ar-SA"/>
              </w:rPr>
            </w:pPr>
            <w:r>
              <w:rPr>
                <w:rFonts w:hint="eastAsia" w:eastAsia="宋体"/>
                <w:snapToGrid w:val="0"/>
                <w:kern w:val="0"/>
                <w:sz w:val="24"/>
                <w:szCs w:val="24"/>
                <w:lang w:eastAsia="zh-CN"/>
              </w:rPr>
              <w:t>方晓明</w:t>
            </w:r>
          </w:p>
        </w:tc>
        <w:tc>
          <w:tcPr>
            <w:tcW w:w="341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rFonts w:hint="eastAsia" w:eastAsia="宋体"/>
                <w:snapToGrid w:val="0"/>
                <w:kern w:val="0"/>
                <w:sz w:val="24"/>
                <w:szCs w:val="24"/>
                <w:lang w:eastAsia="zh-CN"/>
              </w:rPr>
            </w:pPr>
            <w:r>
              <w:rPr>
                <w:rFonts w:hint="eastAsia"/>
                <w:snapToGrid w:val="0"/>
                <w:kern w:val="0"/>
                <w:sz w:val="24"/>
                <w:szCs w:val="24"/>
                <w:lang w:eastAsia="zh-CN"/>
              </w:rPr>
              <w:t>青岛宏润珏金属制品有限公司</w:t>
            </w:r>
          </w:p>
        </w:tc>
        <w:tc>
          <w:tcPr>
            <w:tcW w:w="118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rFonts w:hint="eastAsia" w:ascii="Times New Roman" w:hAnsi="Times New Roman" w:eastAsia="宋体" w:cs="Times New Roman"/>
                <w:snapToGrid w:val="0"/>
                <w:kern w:val="0"/>
                <w:sz w:val="24"/>
                <w:szCs w:val="24"/>
                <w:lang w:val="en-US" w:eastAsia="zh-CN" w:bidi="ar-SA"/>
              </w:rPr>
            </w:pPr>
            <w:r>
              <w:rPr>
                <w:rFonts w:hint="eastAsia"/>
                <w:snapToGrid w:val="0"/>
                <w:kern w:val="0"/>
                <w:sz w:val="24"/>
                <w:szCs w:val="24"/>
                <w:lang w:val="en-US" w:eastAsia="zh-CN"/>
              </w:rPr>
              <w:t>经理</w:t>
            </w:r>
          </w:p>
        </w:tc>
        <w:tc>
          <w:tcPr>
            <w:tcW w:w="1949"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p>
        </w:tc>
      </w:tr>
      <w:tr>
        <w:tblPrEx>
          <w:tblCellMar>
            <w:top w:w="0" w:type="dxa"/>
            <w:left w:w="51" w:type="dxa"/>
            <w:bottom w:w="0" w:type="dxa"/>
            <w:right w:w="51" w:type="dxa"/>
          </w:tblCellMar>
        </w:tblPrEx>
        <w:trPr>
          <w:trHeight w:val="737" w:hRule="atLeast"/>
          <w:jc w:val="center"/>
        </w:trPr>
        <w:tc>
          <w:tcPr>
            <w:tcW w:w="608" w:type="dxa"/>
            <w:vMerge w:val="restart"/>
            <w:tcBorders>
              <w:top w:val="single" w:color="auto" w:sz="4" w:space="0"/>
              <w:left w:val="single" w:color="auto" w:sz="4" w:space="0"/>
              <w:right w:val="single" w:color="auto" w:sz="4" w:space="0"/>
            </w:tcBorders>
            <w:vAlign w:val="center"/>
          </w:tcPr>
          <w:p>
            <w:pPr>
              <w:snapToGrid w:val="0"/>
              <w:spacing w:before="120" w:beforeLines="50" w:line="276" w:lineRule="auto"/>
              <w:jc w:val="center"/>
              <w:rPr>
                <w:sz w:val="24"/>
                <w:szCs w:val="24"/>
              </w:rPr>
            </w:pPr>
            <w:r>
              <w:rPr>
                <w:snapToGrid w:val="0"/>
                <w:kern w:val="0"/>
                <w:sz w:val="24"/>
                <w:szCs w:val="24"/>
              </w:rPr>
              <w:t>成员</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snapToGrid w:val="0"/>
                <w:kern w:val="0"/>
                <w:sz w:val="24"/>
                <w:szCs w:val="24"/>
              </w:rPr>
              <w:t>验收报告编制单位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rFonts w:hint="eastAsia" w:ascii="Times New Roman" w:hAnsi="Times New Roman" w:eastAsia="宋体" w:cs="Times New Roman"/>
                <w:snapToGrid w:val="0"/>
                <w:kern w:val="0"/>
                <w:sz w:val="24"/>
                <w:szCs w:val="24"/>
                <w:lang w:val="en-US" w:eastAsia="zh-CN" w:bidi="ar-SA"/>
              </w:rPr>
            </w:pPr>
            <w:r>
              <w:rPr>
                <w:rFonts w:hint="eastAsia" w:eastAsia="宋体"/>
                <w:snapToGrid w:val="0"/>
                <w:kern w:val="0"/>
                <w:sz w:val="24"/>
                <w:szCs w:val="24"/>
                <w:lang w:eastAsia="zh-CN"/>
              </w:rPr>
              <w:t>邢金云</w:t>
            </w:r>
          </w:p>
        </w:tc>
        <w:tc>
          <w:tcPr>
            <w:tcW w:w="341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rFonts w:hint="eastAsia" w:eastAsia="宋体"/>
                <w:snapToGrid w:val="0"/>
                <w:kern w:val="0"/>
                <w:sz w:val="24"/>
                <w:szCs w:val="24"/>
                <w:lang w:eastAsia="zh-CN"/>
              </w:rPr>
            </w:pPr>
            <w:r>
              <w:rPr>
                <w:rFonts w:hint="eastAsia"/>
                <w:snapToGrid w:val="0"/>
                <w:kern w:val="0"/>
                <w:sz w:val="24"/>
                <w:szCs w:val="24"/>
                <w:lang w:eastAsia="zh-CN"/>
              </w:rPr>
              <w:t>青岛宏润珏金属制品有限公司</w:t>
            </w:r>
          </w:p>
        </w:tc>
        <w:tc>
          <w:tcPr>
            <w:tcW w:w="118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rFonts w:hint="default" w:eastAsia="宋体"/>
                <w:snapToGrid w:val="0"/>
                <w:kern w:val="0"/>
                <w:sz w:val="24"/>
                <w:szCs w:val="24"/>
                <w:lang w:val="en-US" w:eastAsia="zh-CN"/>
              </w:rPr>
            </w:pPr>
            <w:r>
              <w:rPr>
                <w:rFonts w:hint="eastAsia"/>
                <w:snapToGrid w:val="0"/>
                <w:kern w:val="0"/>
                <w:sz w:val="24"/>
                <w:szCs w:val="24"/>
                <w:lang w:val="en-US" w:eastAsia="zh-CN"/>
              </w:rPr>
              <w:t>生产经理</w:t>
            </w:r>
          </w:p>
        </w:tc>
        <w:tc>
          <w:tcPr>
            <w:tcW w:w="1949"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p>
        </w:tc>
      </w:tr>
      <w:tr>
        <w:tblPrEx>
          <w:tblCellMar>
            <w:top w:w="0" w:type="dxa"/>
            <w:left w:w="51" w:type="dxa"/>
            <w:bottom w:w="0" w:type="dxa"/>
            <w:right w:w="51" w:type="dxa"/>
          </w:tblCellMar>
        </w:tblPrEx>
        <w:trPr>
          <w:trHeight w:val="737" w:hRule="atLeast"/>
          <w:jc w:val="center"/>
        </w:trPr>
        <w:tc>
          <w:tcPr>
            <w:tcW w:w="608" w:type="dxa"/>
            <w:vMerge w:val="continue"/>
            <w:tcBorders>
              <w:left w:val="single" w:color="auto" w:sz="4" w:space="0"/>
              <w:right w:val="single" w:color="auto" w:sz="4" w:space="0"/>
            </w:tcBorders>
            <w:vAlign w:val="center"/>
          </w:tcPr>
          <w:p>
            <w:pPr>
              <w:snapToGrid w:val="0"/>
              <w:spacing w:before="120" w:beforeLines="50" w:line="276" w:lineRule="auto"/>
              <w:jc w:val="center"/>
              <w:rPr>
                <w:sz w:val="24"/>
                <w:szCs w:val="24"/>
              </w:rPr>
            </w:pP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rPr>
            </w:pPr>
            <w:r>
              <w:rPr>
                <w:snapToGrid w:val="0"/>
                <w:kern w:val="0"/>
                <w:sz w:val="24"/>
                <w:szCs w:val="24"/>
              </w:rPr>
              <w:t>监测单位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rPr>
            </w:pPr>
            <w:r>
              <w:rPr>
                <w:rFonts w:hint="eastAsia"/>
                <w:snapToGrid w:val="0"/>
                <w:kern w:val="0"/>
                <w:sz w:val="24"/>
                <w:szCs w:val="24"/>
              </w:rPr>
              <w:t>王云鹏</w:t>
            </w:r>
          </w:p>
        </w:tc>
        <w:tc>
          <w:tcPr>
            <w:tcW w:w="341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rPr>
            </w:pPr>
            <w:r>
              <w:rPr>
                <w:rFonts w:hint="eastAsia"/>
                <w:snapToGrid w:val="0"/>
                <w:kern w:val="0"/>
                <w:sz w:val="24"/>
                <w:szCs w:val="24"/>
              </w:rPr>
              <w:t>青岛中旭检测检验有限公司</w:t>
            </w:r>
          </w:p>
        </w:tc>
        <w:tc>
          <w:tcPr>
            <w:tcW w:w="118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rPr>
            </w:pPr>
            <w:r>
              <w:rPr>
                <w:snapToGrid w:val="0"/>
                <w:kern w:val="0"/>
                <w:sz w:val="24"/>
                <w:szCs w:val="24"/>
              </w:rPr>
              <w:t>工程师</w:t>
            </w:r>
          </w:p>
        </w:tc>
        <w:tc>
          <w:tcPr>
            <w:tcW w:w="1949"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p>
        </w:tc>
      </w:tr>
      <w:tr>
        <w:tblPrEx>
          <w:tblCellMar>
            <w:top w:w="0" w:type="dxa"/>
            <w:left w:w="51" w:type="dxa"/>
            <w:bottom w:w="0" w:type="dxa"/>
            <w:right w:w="51" w:type="dxa"/>
          </w:tblCellMar>
        </w:tblPrEx>
        <w:trPr>
          <w:trHeight w:val="737" w:hRule="atLeast"/>
          <w:jc w:val="center"/>
        </w:trPr>
        <w:tc>
          <w:tcPr>
            <w:tcW w:w="608" w:type="dxa"/>
            <w:vMerge w:val="continue"/>
            <w:tcBorders>
              <w:left w:val="single" w:color="auto" w:sz="4" w:space="0"/>
              <w:right w:val="single" w:color="auto" w:sz="4" w:space="0"/>
            </w:tcBorders>
            <w:vAlign w:val="center"/>
          </w:tcPr>
          <w:p>
            <w:pPr>
              <w:snapToGrid w:val="0"/>
              <w:spacing w:before="120" w:beforeLines="50" w:line="276" w:lineRule="auto"/>
              <w:jc w:val="center"/>
              <w:rPr>
                <w:sz w:val="24"/>
                <w:szCs w:val="24"/>
              </w:rPr>
            </w:pPr>
          </w:p>
        </w:tc>
        <w:tc>
          <w:tcPr>
            <w:tcW w:w="1163" w:type="dxa"/>
            <w:vMerge w:val="restart"/>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snapToGrid w:val="0"/>
                <w:kern w:val="0"/>
                <w:sz w:val="24"/>
                <w:szCs w:val="24"/>
              </w:rPr>
              <w:t>专家</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highlight w:val="yellow"/>
              </w:rPr>
            </w:pPr>
            <w:r>
              <w:rPr>
                <w:snapToGrid w:val="0"/>
                <w:kern w:val="0"/>
                <w:sz w:val="24"/>
                <w:szCs w:val="24"/>
              </w:rPr>
              <w:t>谢洪波</w:t>
            </w:r>
          </w:p>
        </w:tc>
        <w:tc>
          <w:tcPr>
            <w:tcW w:w="341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highlight w:val="yellow"/>
              </w:rPr>
            </w:pPr>
            <w:r>
              <w:rPr>
                <w:snapToGrid w:val="0"/>
                <w:kern w:val="0"/>
                <w:sz w:val="24"/>
                <w:szCs w:val="24"/>
              </w:rPr>
              <w:t>青岛大学</w:t>
            </w:r>
          </w:p>
        </w:tc>
        <w:tc>
          <w:tcPr>
            <w:tcW w:w="118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highlight w:val="yellow"/>
              </w:rPr>
            </w:pPr>
            <w:r>
              <w:rPr>
                <w:snapToGrid w:val="0"/>
                <w:kern w:val="0"/>
                <w:sz w:val="24"/>
                <w:szCs w:val="24"/>
              </w:rPr>
              <w:t>教 授</w:t>
            </w:r>
          </w:p>
        </w:tc>
        <w:tc>
          <w:tcPr>
            <w:tcW w:w="1949"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p>
        </w:tc>
      </w:tr>
      <w:tr>
        <w:tblPrEx>
          <w:tblCellMar>
            <w:top w:w="0" w:type="dxa"/>
            <w:left w:w="51" w:type="dxa"/>
            <w:bottom w:w="0" w:type="dxa"/>
            <w:right w:w="51" w:type="dxa"/>
          </w:tblCellMar>
        </w:tblPrEx>
        <w:trPr>
          <w:trHeight w:val="737" w:hRule="atLeast"/>
          <w:jc w:val="center"/>
        </w:trPr>
        <w:tc>
          <w:tcPr>
            <w:tcW w:w="608" w:type="dxa"/>
            <w:vMerge w:val="continue"/>
            <w:tcBorders>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p>
        </w:tc>
        <w:tc>
          <w:tcPr>
            <w:tcW w:w="1163"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highlight w:val="yellow"/>
              </w:rPr>
            </w:pPr>
            <w:r>
              <w:rPr>
                <w:rFonts w:hint="eastAsia"/>
                <w:snapToGrid w:val="0"/>
                <w:kern w:val="0"/>
                <w:sz w:val="24"/>
                <w:szCs w:val="24"/>
                <w:lang w:eastAsia="zh-CN"/>
              </w:rPr>
              <w:t>王</w:t>
            </w:r>
            <w:r>
              <w:rPr>
                <w:rFonts w:hint="eastAsia"/>
                <w:snapToGrid w:val="0"/>
                <w:kern w:val="0"/>
                <w:sz w:val="24"/>
                <w:szCs w:val="24"/>
                <w:lang w:val="en-US" w:eastAsia="zh-CN"/>
              </w:rPr>
              <w:t xml:space="preserve"> </w:t>
            </w:r>
            <w:r>
              <w:rPr>
                <w:rFonts w:hint="eastAsia"/>
                <w:snapToGrid w:val="0"/>
                <w:kern w:val="0"/>
                <w:sz w:val="24"/>
                <w:szCs w:val="24"/>
                <w:lang w:eastAsia="zh-CN"/>
              </w:rPr>
              <w:t>犇</w:t>
            </w:r>
          </w:p>
        </w:tc>
        <w:tc>
          <w:tcPr>
            <w:tcW w:w="3411"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highlight w:val="yellow"/>
              </w:rPr>
            </w:pPr>
            <w:r>
              <w:rPr>
                <w:snapToGrid w:val="0"/>
                <w:kern w:val="0"/>
                <w:sz w:val="24"/>
                <w:szCs w:val="24"/>
              </w:rPr>
              <w:t>青岛</w:t>
            </w:r>
            <w:r>
              <w:rPr>
                <w:rFonts w:hint="eastAsia"/>
                <w:snapToGrid w:val="0"/>
                <w:kern w:val="0"/>
                <w:sz w:val="24"/>
                <w:szCs w:val="24"/>
                <w:lang w:eastAsia="zh-CN"/>
              </w:rPr>
              <w:t>科技</w:t>
            </w:r>
            <w:r>
              <w:rPr>
                <w:snapToGrid w:val="0"/>
                <w:kern w:val="0"/>
                <w:sz w:val="24"/>
                <w:szCs w:val="24"/>
              </w:rPr>
              <w:t>大学</w:t>
            </w:r>
          </w:p>
        </w:tc>
        <w:tc>
          <w:tcPr>
            <w:tcW w:w="118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highlight w:val="yellow"/>
              </w:rPr>
            </w:pPr>
            <w:r>
              <w:rPr>
                <w:snapToGrid w:val="0"/>
                <w:kern w:val="0"/>
                <w:sz w:val="24"/>
                <w:szCs w:val="24"/>
              </w:rPr>
              <w:t>教 授</w:t>
            </w:r>
          </w:p>
        </w:tc>
        <w:tc>
          <w:tcPr>
            <w:tcW w:w="1949"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p>
        </w:tc>
      </w:tr>
    </w:tbl>
    <w:p>
      <w:pPr>
        <w:spacing w:line="276" w:lineRule="auto"/>
        <w:ind w:firstLine="562" w:firstLineChars="200"/>
        <w:rPr>
          <w:rFonts w:eastAsiaTheme="minorEastAsia"/>
          <w:b/>
          <w:sz w:val="28"/>
        </w:rPr>
      </w:pPr>
    </w:p>
    <w:p>
      <w:pPr>
        <w:spacing w:line="276" w:lineRule="auto"/>
        <w:ind w:firstLine="480" w:firstLineChars="200"/>
        <w:jc w:val="right"/>
        <w:rPr>
          <w:rFonts w:hint="eastAsia" w:eastAsiaTheme="minorEastAsia"/>
          <w:sz w:val="24"/>
          <w:lang w:eastAsia="zh-CN"/>
        </w:rPr>
      </w:pPr>
      <w:r>
        <w:rPr>
          <w:rFonts w:hint="eastAsia" w:eastAsiaTheme="minorEastAsia"/>
          <w:sz w:val="24"/>
          <w:lang w:eastAsia="zh-CN"/>
        </w:rPr>
        <w:t>青岛宏润珏金属制品有限公司</w:t>
      </w:r>
    </w:p>
    <w:p>
      <w:pPr>
        <w:spacing w:line="276" w:lineRule="auto"/>
        <w:ind w:firstLine="480" w:firstLineChars="200"/>
        <w:jc w:val="right"/>
        <w:rPr>
          <w:rFonts w:eastAsiaTheme="minorEastAsia"/>
          <w:sz w:val="24"/>
        </w:rPr>
      </w:pPr>
      <w:r>
        <w:rPr>
          <w:rFonts w:eastAsiaTheme="minorEastAsia"/>
          <w:sz w:val="24"/>
        </w:rPr>
        <w:t>2020年</w:t>
      </w:r>
      <w:r>
        <w:rPr>
          <w:rFonts w:hint="eastAsia" w:eastAsiaTheme="minorEastAsia"/>
          <w:sz w:val="24"/>
          <w:lang w:val="en-US" w:eastAsia="zh-CN"/>
        </w:rPr>
        <w:t>10</w:t>
      </w:r>
      <w:r>
        <w:rPr>
          <w:rFonts w:eastAsiaTheme="minorEastAsia"/>
          <w:sz w:val="24"/>
        </w:rPr>
        <w:t>月</w:t>
      </w:r>
      <w:r>
        <w:rPr>
          <w:rFonts w:hint="eastAsia" w:eastAsiaTheme="minorEastAsia"/>
          <w:sz w:val="24"/>
          <w:lang w:val="en-US" w:eastAsia="zh-CN"/>
        </w:rPr>
        <w:t>11</w:t>
      </w:r>
      <w:r>
        <w:rPr>
          <w:rFonts w:eastAsiaTheme="minorEastAsia"/>
          <w:sz w:val="24"/>
        </w:rPr>
        <w:t>日</w:t>
      </w:r>
    </w:p>
    <w:sectPr>
      <w:pgSz w:w="11906" w:h="16838"/>
      <w:pgMar w:top="1440" w:right="1797" w:bottom="1440" w:left="1797" w:header="709" w:footer="709"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08A"/>
    <w:rsid w:val="0004535E"/>
    <w:rsid w:val="00065D3E"/>
    <w:rsid w:val="00073677"/>
    <w:rsid w:val="000E0002"/>
    <w:rsid w:val="00120973"/>
    <w:rsid w:val="00161893"/>
    <w:rsid w:val="001D5FA7"/>
    <w:rsid w:val="002215E8"/>
    <w:rsid w:val="002B591D"/>
    <w:rsid w:val="002D51A7"/>
    <w:rsid w:val="00303450"/>
    <w:rsid w:val="0031483A"/>
    <w:rsid w:val="0034554B"/>
    <w:rsid w:val="00412FFD"/>
    <w:rsid w:val="005137DB"/>
    <w:rsid w:val="00534C86"/>
    <w:rsid w:val="005552E3"/>
    <w:rsid w:val="005A7698"/>
    <w:rsid w:val="005D542C"/>
    <w:rsid w:val="005D6337"/>
    <w:rsid w:val="005F0595"/>
    <w:rsid w:val="005F508A"/>
    <w:rsid w:val="005F6AC8"/>
    <w:rsid w:val="006C2754"/>
    <w:rsid w:val="007351BB"/>
    <w:rsid w:val="007E6466"/>
    <w:rsid w:val="008117BE"/>
    <w:rsid w:val="00870721"/>
    <w:rsid w:val="008968D7"/>
    <w:rsid w:val="00911006"/>
    <w:rsid w:val="00922160"/>
    <w:rsid w:val="00944BC7"/>
    <w:rsid w:val="00993DE5"/>
    <w:rsid w:val="009A717E"/>
    <w:rsid w:val="009F5FA0"/>
    <w:rsid w:val="00AB7C2B"/>
    <w:rsid w:val="00B127A8"/>
    <w:rsid w:val="00BA5C89"/>
    <w:rsid w:val="00CB7587"/>
    <w:rsid w:val="00D40914"/>
    <w:rsid w:val="00E05DD8"/>
    <w:rsid w:val="00E348AA"/>
    <w:rsid w:val="00EA3DA2"/>
    <w:rsid w:val="00EF0194"/>
    <w:rsid w:val="00EF4996"/>
    <w:rsid w:val="00FA3E19"/>
    <w:rsid w:val="029F62C1"/>
    <w:rsid w:val="065D5E58"/>
    <w:rsid w:val="0DAD4A7F"/>
    <w:rsid w:val="0DB41E7B"/>
    <w:rsid w:val="181D1B90"/>
    <w:rsid w:val="188D54AF"/>
    <w:rsid w:val="1AEF26E5"/>
    <w:rsid w:val="20916824"/>
    <w:rsid w:val="269A0FC8"/>
    <w:rsid w:val="40F94B6F"/>
    <w:rsid w:val="414C225D"/>
    <w:rsid w:val="43B411F4"/>
    <w:rsid w:val="52C830B7"/>
    <w:rsid w:val="641D29D5"/>
    <w:rsid w:val="64387ADD"/>
    <w:rsid w:val="648321B5"/>
    <w:rsid w:val="753861E6"/>
    <w:rsid w:val="75873C4A"/>
    <w:rsid w:val="758A6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link w:val="14"/>
    <w:semiHidden/>
    <w:unhideWhenUsed/>
    <w:uiPriority w:val="99"/>
    <w:pPr>
      <w:spacing w:after="120"/>
    </w:pPr>
  </w:style>
  <w:style w:type="paragraph" w:styleId="4">
    <w:name w:val="Balloon Text"/>
    <w:basedOn w:val="1"/>
    <w:link w:val="17"/>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Body Text First Indent"/>
    <w:basedOn w:val="3"/>
    <w:link w:val="15"/>
    <w:qFormat/>
    <w:uiPriority w:val="99"/>
    <w:pPr>
      <w:ind w:firstLine="420" w:firstLineChars="100"/>
    </w:pPr>
    <w:rPr>
      <w:szCs w:val="21"/>
    </w:rPr>
  </w:style>
  <w:style w:type="character" w:styleId="10">
    <w:name w:val="annotation reference"/>
    <w:qFormat/>
    <w:uiPriority w:val="99"/>
    <w:rPr>
      <w:sz w:val="21"/>
      <w:szCs w:val="21"/>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正文文本 Char"/>
    <w:basedOn w:val="9"/>
    <w:link w:val="3"/>
    <w:semiHidden/>
    <w:qFormat/>
    <w:uiPriority w:val="99"/>
    <w:rPr>
      <w:rFonts w:ascii="Times New Roman" w:hAnsi="Times New Roman" w:eastAsia="宋体" w:cs="Times New Roman"/>
      <w:szCs w:val="20"/>
    </w:rPr>
  </w:style>
  <w:style w:type="character" w:customStyle="1" w:styleId="15">
    <w:name w:val="正文首行缩进 Char"/>
    <w:basedOn w:val="14"/>
    <w:link w:val="7"/>
    <w:qFormat/>
    <w:uiPriority w:val="99"/>
    <w:rPr>
      <w:rFonts w:ascii="Times New Roman" w:hAnsi="Times New Roman" w:eastAsia="宋体" w:cs="Times New Roman"/>
      <w:szCs w:val="21"/>
    </w:rPr>
  </w:style>
  <w:style w:type="character" w:customStyle="1" w:styleId="16">
    <w:name w:val="批注文字 Char"/>
    <w:basedOn w:val="9"/>
    <w:link w:val="2"/>
    <w:qFormat/>
    <w:uiPriority w:val="0"/>
    <w:rPr>
      <w:rFonts w:ascii="Times New Roman" w:hAnsi="Times New Roman" w:eastAsia="宋体" w:cs="Times New Roman"/>
      <w:szCs w:val="20"/>
    </w:rPr>
  </w:style>
  <w:style w:type="character" w:customStyle="1" w:styleId="17">
    <w:name w:val="批注框文本 Char"/>
    <w:basedOn w:val="9"/>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425</Words>
  <Characters>2427</Characters>
  <Lines>20</Lines>
  <Paragraphs>5</Paragraphs>
  <TotalTime>2</TotalTime>
  <ScaleCrop>false</ScaleCrop>
  <LinksUpToDate>false</LinksUpToDate>
  <CharactersWithSpaces>2847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dcterms:modified xsi:type="dcterms:W3CDTF">2020-11-02T01:31:13Z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