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outlineLvl w:val="0"/>
        <w:rPr>
          <w:rFonts w:hint="eastAsia" w:eastAsia="宋体"/>
          <w:b/>
          <w:bCs/>
          <w:color w:val="auto"/>
          <w:sz w:val="36"/>
          <w:szCs w:val="36"/>
          <w:lang w:eastAsia="zh-CN"/>
        </w:rPr>
      </w:pPr>
      <w:r>
        <w:rPr>
          <w:rFonts w:hint="eastAsia"/>
          <w:b/>
          <w:bCs/>
          <w:color w:val="auto"/>
          <w:sz w:val="36"/>
          <w:szCs w:val="36"/>
          <w:lang w:eastAsia="zh-CN"/>
        </w:rPr>
        <w:t>青岛裕鸿食品配料有限公司</w:t>
      </w:r>
    </w:p>
    <w:p>
      <w:pPr>
        <w:spacing w:line="480" w:lineRule="exact"/>
        <w:jc w:val="center"/>
        <w:outlineLvl w:val="0"/>
        <w:rPr>
          <w:rFonts w:hint="eastAsia" w:eastAsia="宋体"/>
          <w:b/>
          <w:bCs/>
          <w:color w:val="auto"/>
          <w:sz w:val="36"/>
          <w:szCs w:val="36"/>
          <w:lang w:eastAsia="zh-CN"/>
        </w:rPr>
      </w:pPr>
      <w:r>
        <w:rPr>
          <w:rFonts w:hint="eastAsia"/>
          <w:b/>
          <w:bCs/>
          <w:color w:val="auto"/>
          <w:sz w:val="36"/>
          <w:szCs w:val="36"/>
          <w:lang w:eastAsia="zh-CN"/>
        </w:rPr>
        <w:t>调味品、食品添加剂生产项目（一期）</w:t>
      </w:r>
    </w:p>
    <w:p>
      <w:pPr>
        <w:spacing w:line="480" w:lineRule="exact"/>
        <w:jc w:val="center"/>
        <w:outlineLvl w:val="0"/>
        <w:rPr>
          <w:b/>
          <w:bCs/>
          <w:color w:val="auto"/>
          <w:sz w:val="36"/>
          <w:szCs w:val="36"/>
        </w:rPr>
      </w:pPr>
      <w:r>
        <w:rPr>
          <w:b/>
          <w:bCs/>
          <w:color w:val="auto"/>
          <w:sz w:val="36"/>
          <w:szCs w:val="36"/>
        </w:rPr>
        <w:t>竣工环境保护验收意见</w:t>
      </w:r>
    </w:p>
    <w:p>
      <w:pPr>
        <w:spacing w:line="440" w:lineRule="exact"/>
        <w:jc w:val="center"/>
        <w:rPr>
          <w:color w:val="auto"/>
          <w:sz w:val="24"/>
          <w:szCs w:val="24"/>
        </w:rPr>
      </w:pPr>
    </w:p>
    <w:p>
      <w:pPr>
        <w:spacing w:line="420" w:lineRule="exact"/>
        <w:ind w:firstLine="480" w:firstLineChars="200"/>
        <w:rPr>
          <w:color w:val="auto"/>
          <w:sz w:val="24"/>
          <w:szCs w:val="24"/>
        </w:rPr>
      </w:pPr>
      <w:r>
        <w:rPr>
          <w:color w:val="auto"/>
          <w:sz w:val="24"/>
          <w:szCs w:val="24"/>
        </w:rPr>
        <w:t>202</w:t>
      </w:r>
      <w:r>
        <w:rPr>
          <w:rFonts w:hint="eastAsia"/>
          <w:color w:val="auto"/>
          <w:sz w:val="24"/>
          <w:szCs w:val="24"/>
        </w:rPr>
        <w:t>1</w:t>
      </w:r>
      <w:r>
        <w:rPr>
          <w:color w:val="auto"/>
          <w:sz w:val="24"/>
          <w:szCs w:val="24"/>
        </w:rPr>
        <w:t>年</w:t>
      </w:r>
      <w:r>
        <w:rPr>
          <w:rFonts w:hint="eastAsia"/>
          <w:color w:val="auto"/>
          <w:sz w:val="24"/>
          <w:szCs w:val="24"/>
          <w:lang w:val="en-US" w:eastAsia="zh-CN"/>
        </w:rPr>
        <w:t>11</w:t>
      </w:r>
      <w:r>
        <w:rPr>
          <w:color w:val="auto"/>
          <w:sz w:val="24"/>
          <w:szCs w:val="24"/>
        </w:rPr>
        <w:t>月</w:t>
      </w:r>
      <w:r>
        <w:rPr>
          <w:rFonts w:hint="eastAsia"/>
          <w:color w:val="auto"/>
          <w:sz w:val="24"/>
          <w:szCs w:val="24"/>
          <w:lang w:val="en-US" w:eastAsia="zh-CN"/>
        </w:rPr>
        <w:t>7</w:t>
      </w:r>
      <w:r>
        <w:rPr>
          <w:color w:val="auto"/>
          <w:sz w:val="24"/>
          <w:szCs w:val="24"/>
        </w:rPr>
        <w:t>日，</w:t>
      </w:r>
      <w:r>
        <w:rPr>
          <w:rFonts w:hint="eastAsia"/>
          <w:color w:val="auto"/>
          <w:sz w:val="24"/>
          <w:szCs w:val="24"/>
          <w:lang w:eastAsia="zh-CN"/>
        </w:rPr>
        <w:t>青岛裕鸿食品配料有限公司</w:t>
      </w:r>
      <w:r>
        <w:rPr>
          <w:color w:val="auto"/>
          <w:sz w:val="24"/>
          <w:szCs w:val="24"/>
        </w:rPr>
        <w:t>根据</w:t>
      </w:r>
      <w:r>
        <w:rPr>
          <w:rFonts w:hint="eastAsia"/>
          <w:color w:val="auto"/>
          <w:sz w:val="24"/>
          <w:szCs w:val="24"/>
          <w:lang w:eastAsia="zh-CN"/>
        </w:rPr>
        <w:t>“青岛裕鸿食品配料有限公司调味品、食品添加剂生产项目（一期）”</w:t>
      </w:r>
      <w:r>
        <w:rPr>
          <w:color w:val="auto"/>
          <w:sz w:val="24"/>
          <w:szCs w:val="24"/>
        </w:rPr>
        <w:t>竣工环境保护验收监测报告，并对照《建设项目竣工环境保护验收暂行办法》，严格依照国家有关法律法规、建设项目竣工环境保护验收技术规范/指南、本项目环境影响报告</w:t>
      </w:r>
      <w:r>
        <w:rPr>
          <w:rFonts w:hint="eastAsia"/>
          <w:color w:val="auto"/>
          <w:sz w:val="24"/>
          <w:szCs w:val="24"/>
        </w:rPr>
        <w:t>表</w:t>
      </w:r>
      <w:r>
        <w:rPr>
          <w:color w:val="auto"/>
          <w:sz w:val="24"/>
          <w:szCs w:val="24"/>
        </w:rPr>
        <w:t>和审批部门审批决定等要求，对本项目进行验收，提出意见如下：</w:t>
      </w:r>
    </w:p>
    <w:p>
      <w:pPr>
        <w:spacing w:line="420" w:lineRule="exact"/>
        <w:ind w:firstLine="482" w:firstLineChars="200"/>
        <w:outlineLvl w:val="0"/>
        <w:rPr>
          <w:b/>
          <w:color w:val="auto"/>
          <w:sz w:val="24"/>
          <w:szCs w:val="24"/>
        </w:rPr>
      </w:pPr>
      <w:r>
        <w:rPr>
          <w:b/>
          <w:color w:val="auto"/>
          <w:sz w:val="24"/>
          <w:szCs w:val="24"/>
        </w:rPr>
        <w:t>一、项目基本情况</w:t>
      </w:r>
    </w:p>
    <w:p>
      <w:pPr>
        <w:spacing w:line="420" w:lineRule="exact"/>
        <w:ind w:firstLine="480" w:firstLineChars="200"/>
        <w:outlineLvl w:val="1"/>
        <w:rPr>
          <w:color w:val="auto"/>
          <w:sz w:val="24"/>
          <w:szCs w:val="24"/>
        </w:rPr>
      </w:pPr>
      <w:r>
        <w:rPr>
          <w:color w:val="auto"/>
          <w:sz w:val="24"/>
          <w:szCs w:val="24"/>
        </w:rPr>
        <w:t>（一）建设地点、规模、主要建设内容</w:t>
      </w:r>
    </w:p>
    <w:p>
      <w:pPr>
        <w:spacing w:line="420" w:lineRule="exact"/>
        <w:ind w:firstLine="480" w:firstLineChars="200"/>
        <w:rPr>
          <w:rFonts w:hint="eastAsia"/>
          <w:color w:val="auto"/>
          <w:sz w:val="24"/>
          <w:szCs w:val="24"/>
          <w:lang w:eastAsia="zh-CN"/>
        </w:rPr>
      </w:pPr>
      <w:r>
        <w:rPr>
          <w:rFonts w:hint="eastAsia"/>
          <w:color w:val="auto"/>
          <w:sz w:val="24"/>
          <w:szCs w:val="24"/>
          <w:lang w:eastAsia="zh-CN"/>
        </w:rPr>
        <w:t>项目计划投资</w:t>
      </w:r>
      <w:r>
        <w:rPr>
          <w:rFonts w:hint="eastAsia"/>
          <w:color w:val="auto"/>
          <w:sz w:val="24"/>
          <w:szCs w:val="24"/>
          <w:lang w:val="en-US" w:eastAsia="zh-CN"/>
        </w:rPr>
        <w:t>20</w:t>
      </w:r>
      <w:r>
        <w:rPr>
          <w:rFonts w:hint="eastAsia"/>
          <w:color w:val="auto"/>
          <w:sz w:val="24"/>
          <w:szCs w:val="24"/>
          <w:lang w:eastAsia="zh-CN"/>
        </w:rPr>
        <w:t>0万元建设调味品、食品添加剂生产项目。建设生产车间1座，购置蒸煮锅等生产设备</w:t>
      </w:r>
      <w:r>
        <w:rPr>
          <w:rFonts w:hint="eastAsia"/>
          <w:color w:val="auto"/>
          <w:sz w:val="24"/>
          <w:szCs w:val="24"/>
          <w:lang w:val="en-US" w:eastAsia="zh-CN"/>
        </w:rPr>
        <w:t>142</w:t>
      </w:r>
      <w:r>
        <w:rPr>
          <w:rFonts w:hint="eastAsia"/>
          <w:color w:val="auto"/>
          <w:sz w:val="24"/>
          <w:szCs w:val="24"/>
          <w:lang w:eastAsia="zh-CN"/>
        </w:rPr>
        <w:t>台/</w:t>
      </w:r>
      <w:bookmarkStart w:id="0" w:name="_GoBack"/>
      <w:bookmarkEnd w:id="0"/>
      <w:r>
        <w:rPr>
          <w:rFonts w:hint="eastAsia"/>
          <w:color w:val="auto"/>
          <w:sz w:val="24"/>
          <w:szCs w:val="24"/>
          <w:lang w:eastAsia="zh-CN"/>
        </w:rPr>
        <w:t>套。项目劳动定员16人，单班制，每班8h，年工作200d。建成后，年生产调味品220吨（固态调味品100吨、半固态调味品100吨、液态调味品20吨）；食品添加剂</w:t>
      </w:r>
      <w:r>
        <w:rPr>
          <w:rFonts w:hint="eastAsia"/>
          <w:color w:val="auto"/>
          <w:sz w:val="24"/>
          <w:szCs w:val="24"/>
          <w:lang w:val="en-US" w:eastAsia="zh-CN"/>
        </w:rPr>
        <w:t>100</w:t>
      </w:r>
      <w:r>
        <w:rPr>
          <w:rFonts w:hint="eastAsia"/>
          <w:color w:val="auto"/>
          <w:sz w:val="24"/>
          <w:szCs w:val="24"/>
          <w:lang w:eastAsia="zh-CN"/>
        </w:rPr>
        <w:t>吨（粉状食品添加剂</w:t>
      </w:r>
      <w:r>
        <w:rPr>
          <w:rFonts w:hint="eastAsia"/>
          <w:color w:val="auto"/>
          <w:sz w:val="24"/>
          <w:szCs w:val="24"/>
          <w:lang w:val="en-US" w:eastAsia="zh-CN"/>
        </w:rPr>
        <w:t>5</w:t>
      </w:r>
      <w:r>
        <w:rPr>
          <w:rFonts w:hint="eastAsia"/>
          <w:color w:val="auto"/>
          <w:sz w:val="24"/>
          <w:szCs w:val="24"/>
          <w:lang w:eastAsia="zh-CN"/>
        </w:rPr>
        <w:t>0吨、浆膏状食品添加剂10吨、液状食品添加剂</w:t>
      </w:r>
      <w:r>
        <w:rPr>
          <w:rFonts w:hint="eastAsia"/>
          <w:color w:val="auto"/>
          <w:sz w:val="24"/>
          <w:szCs w:val="24"/>
          <w:lang w:val="en-US" w:eastAsia="zh-CN"/>
        </w:rPr>
        <w:t>4</w:t>
      </w:r>
      <w:r>
        <w:rPr>
          <w:rFonts w:hint="eastAsia"/>
          <w:color w:val="auto"/>
          <w:sz w:val="24"/>
          <w:szCs w:val="24"/>
          <w:lang w:eastAsia="zh-CN"/>
        </w:rPr>
        <w:t>0吨）。</w:t>
      </w:r>
    </w:p>
    <w:p>
      <w:pPr>
        <w:spacing w:line="420" w:lineRule="exact"/>
        <w:ind w:firstLine="480" w:firstLineChars="200"/>
        <w:outlineLvl w:val="1"/>
        <w:rPr>
          <w:color w:val="auto"/>
          <w:sz w:val="24"/>
          <w:szCs w:val="24"/>
        </w:rPr>
      </w:pPr>
      <w:r>
        <w:rPr>
          <w:color w:val="auto"/>
          <w:sz w:val="24"/>
          <w:szCs w:val="24"/>
        </w:rPr>
        <w:t>（二）建设过程及环保审批情况</w:t>
      </w:r>
    </w:p>
    <w:p>
      <w:pPr>
        <w:spacing w:line="420" w:lineRule="exact"/>
        <w:ind w:firstLine="480" w:firstLineChars="200"/>
        <w:rPr>
          <w:rFonts w:hint="eastAsia"/>
          <w:color w:val="auto"/>
          <w:sz w:val="24"/>
          <w:szCs w:val="24"/>
        </w:rPr>
      </w:pPr>
      <w:r>
        <w:rPr>
          <w:rFonts w:hint="eastAsia"/>
          <w:color w:val="auto"/>
          <w:sz w:val="24"/>
          <w:szCs w:val="24"/>
        </w:rPr>
        <w:t>2020年10月，青岛森源环保科技有限公司对本项目进行了环境影响评价，编制完成了《青岛裕鸿食品配料有限公司调味品、食品添加剂生产项目环境影响报告表》。</w:t>
      </w:r>
    </w:p>
    <w:p>
      <w:pPr>
        <w:spacing w:line="420" w:lineRule="exact"/>
        <w:ind w:firstLine="480" w:firstLineChars="200"/>
        <w:rPr>
          <w:rFonts w:hint="eastAsia"/>
          <w:color w:val="auto"/>
          <w:sz w:val="24"/>
          <w:szCs w:val="24"/>
        </w:rPr>
      </w:pPr>
      <w:r>
        <w:rPr>
          <w:rFonts w:hint="eastAsia"/>
          <w:color w:val="auto"/>
          <w:sz w:val="24"/>
          <w:szCs w:val="24"/>
        </w:rPr>
        <w:t>2020年11月4日，青岛市生态环境局平度分局以平环承诺审﹝2020﹞104号文件对本项目环境影响报告表进行了批复。</w:t>
      </w:r>
    </w:p>
    <w:p>
      <w:pPr>
        <w:spacing w:line="420" w:lineRule="exact"/>
        <w:ind w:firstLine="480" w:firstLineChars="200"/>
        <w:rPr>
          <w:rFonts w:hint="eastAsia"/>
          <w:color w:val="auto"/>
          <w:sz w:val="24"/>
          <w:szCs w:val="24"/>
        </w:rPr>
      </w:pPr>
      <w:r>
        <w:rPr>
          <w:rFonts w:hint="eastAsia"/>
          <w:color w:val="auto"/>
          <w:sz w:val="24"/>
          <w:szCs w:val="24"/>
        </w:rPr>
        <w:t>项目2020年11月开工建设，2021年4月建设完成。</w:t>
      </w:r>
    </w:p>
    <w:p>
      <w:pPr>
        <w:spacing w:line="420" w:lineRule="exact"/>
        <w:ind w:firstLine="480" w:firstLineChars="200"/>
        <w:outlineLvl w:val="1"/>
        <w:rPr>
          <w:color w:val="auto"/>
          <w:sz w:val="24"/>
          <w:szCs w:val="24"/>
        </w:rPr>
      </w:pPr>
      <w:r>
        <w:rPr>
          <w:color w:val="auto"/>
          <w:sz w:val="24"/>
          <w:szCs w:val="24"/>
        </w:rPr>
        <w:t>（三）投资情况</w:t>
      </w:r>
    </w:p>
    <w:p>
      <w:pPr>
        <w:spacing w:line="420" w:lineRule="exact"/>
        <w:ind w:firstLine="480" w:firstLineChars="200"/>
        <w:rPr>
          <w:rFonts w:hint="eastAsia"/>
          <w:color w:val="auto"/>
          <w:sz w:val="24"/>
          <w:szCs w:val="24"/>
        </w:rPr>
      </w:pPr>
      <w:r>
        <w:rPr>
          <w:rFonts w:hint="eastAsia"/>
          <w:color w:val="auto"/>
          <w:sz w:val="24"/>
          <w:szCs w:val="24"/>
        </w:rPr>
        <w:t>本项目总投资</w:t>
      </w:r>
      <w:r>
        <w:rPr>
          <w:rFonts w:hint="eastAsia"/>
          <w:color w:val="auto"/>
          <w:sz w:val="24"/>
          <w:szCs w:val="24"/>
          <w:lang w:val="en-US" w:eastAsia="zh-CN"/>
        </w:rPr>
        <w:t>140</w:t>
      </w:r>
      <w:r>
        <w:rPr>
          <w:rFonts w:hint="eastAsia"/>
          <w:color w:val="auto"/>
          <w:sz w:val="24"/>
          <w:szCs w:val="24"/>
        </w:rPr>
        <w:t>万元，其中环保投资</w:t>
      </w:r>
      <w:r>
        <w:rPr>
          <w:rFonts w:hint="eastAsia"/>
          <w:color w:val="auto"/>
          <w:sz w:val="24"/>
          <w:szCs w:val="24"/>
          <w:lang w:val="en-US" w:eastAsia="zh-CN"/>
        </w:rPr>
        <w:t>8</w:t>
      </w:r>
      <w:r>
        <w:rPr>
          <w:rFonts w:hint="eastAsia"/>
          <w:color w:val="auto"/>
          <w:sz w:val="24"/>
          <w:szCs w:val="24"/>
        </w:rPr>
        <w:t>万元，环保投资占项目总投资的</w:t>
      </w:r>
      <w:r>
        <w:rPr>
          <w:rFonts w:hint="eastAsia"/>
          <w:color w:val="auto"/>
          <w:sz w:val="24"/>
          <w:szCs w:val="24"/>
          <w:lang w:val="en-US" w:eastAsia="zh-CN"/>
        </w:rPr>
        <w:t>5.7</w:t>
      </w:r>
      <w:r>
        <w:rPr>
          <w:rFonts w:hint="eastAsia"/>
          <w:color w:val="auto"/>
          <w:sz w:val="24"/>
          <w:szCs w:val="24"/>
        </w:rPr>
        <w:t>%。</w:t>
      </w:r>
    </w:p>
    <w:p>
      <w:pPr>
        <w:spacing w:line="420" w:lineRule="exact"/>
        <w:ind w:firstLine="480" w:firstLineChars="200"/>
        <w:outlineLvl w:val="1"/>
        <w:rPr>
          <w:color w:val="auto"/>
          <w:sz w:val="24"/>
          <w:szCs w:val="24"/>
        </w:rPr>
      </w:pPr>
      <w:r>
        <w:rPr>
          <w:color w:val="auto"/>
          <w:sz w:val="24"/>
          <w:szCs w:val="24"/>
        </w:rPr>
        <w:t>（四）验收范围</w:t>
      </w:r>
    </w:p>
    <w:p>
      <w:pPr>
        <w:spacing w:line="420" w:lineRule="exact"/>
        <w:ind w:firstLine="480" w:firstLineChars="200"/>
      </w:pPr>
      <w:r>
        <w:rPr>
          <w:color w:val="auto"/>
          <w:sz w:val="24"/>
          <w:szCs w:val="24"/>
          <w:lang w:val="en-US"/>
        </w:rPr>
        <w:t>项目分期建设分期验收。</w:t>
      </w:r>
      <w:r>
        <w:rPr>
          <w:color w:val="auto"/>
          <w:sz w:val="24"/>
          <w:szCs w:val="24"/>
        </w:rPr>
        <w:t>本次验收</w:t>
      </w:r>
      <w:r>
        <w:rPr>
          <w:rFonts w:hint="eastAsia"/>
          <w:color w:val="auto"/>
          <w:sz w:val="24"/>
          <w:szCs w:val="24"/>
        </w:rPr>
        <w:t>范围</w:t>
      </w:r>
      <w:r>
        <w:rPr>
          <w:color w:val="auto"/>
          <w:sz w:val="24"/>
          <w:szCs w:val="24"/>
        </w:rPr>
        <w:t>为</w:t>
      </w:r>
      <w:r>
        <w:rPr>
          <w:rFonts w:hint="eastAsia"/>
          <w:color w:val="auto"/>
          <w:sz w:val="24"/>
          <w:szCs w:val="24"/>
          <w:lang w:eastAsia="zh-CN"/>
        </w:rPr>
        <w:t>调味品、食品添加剂生产项目（一期）</w:t>
      </w:r>
      <w:r>
        <w:rPr>
          <w:rFonts w:hint="eastAsia"/>
          <w:color w:val="auto"/>
          <w:sz w:val="24"/>
          <w:szCs w:val="24"/>
          <w:lang w:val="en-US" w:eastAsia="zh-CN"/>
        </w:rPr>
        <w:t>工程</w:t>
      </w:r>
      <w:r>
        <w:rPr>
          <w:color w:val="auto"/>
          <w:sz w:val="24"/>
          <w:szCs w:val="24"/>
        </w:rPr>
        <w:t>涉及到的内容。</w:t>
      </w:r>
      <w:r>
        <w:rPr>
          <w:rFonts w:hint="eastAsia"/>
          <w:color w:val="auto"/>
          <w:sz w:val="24"/>
          <w:szCs w:val="24"/>
          <w:lang w:eastAsia="zh-CN"/>
        </w:rPr>
        <w:t>食品添加剂暂不生产。</w:t>
      </w:r>
      <w:r>
        <w:rPr>
          <w:color w:val="auto"/>
          <w:sz w:val="24"/>
          <w:szCs w:val="24"/>
          <w:lang w:val="en-US"/>
        </w:rPr>
        <w:t>炒锅等</w:t>
      </w:r>
      <w:r>
        <w:rPr>
          <w:rFonts w:hint="eastAsia"/>
          <w:color w:val="auto"/>
          <w:sz w:val="24"/>
          <w:szCs w:val="24"/>
          <w:lang w:val="en-US" w:eastAsia="zh-CN"/>
        </w:rPr>
        <w:t>酱</w:t>
      </w:r>
      <w:r>
        <w:rPr>
          <w:color w:val="auto"/>
          <w:sz w:val="24"/>
          <w:szCs w:val="24"/>
          <w:lang w:val="en-US"/>
        </w:rPr>
        <w:t>料炒制部分未建设。后续建设完成后另行办理竣工环保验收。</w:t>
      </w:r>
    </w:p>
    <w:p>
      <w:pPr>
        <w:pStyle w:val="2"/>
        <w:numPr>
          <w:ilvl w:val="0"/>
          <w:numId w:val="0"/>
        </w:numPr>
        <w:spacing w:line="420" w:lineRule="exact"/>
        <w:ind w:firstLine="480" w:firstLineChars="200"/>
      </w:pPr>
      <w:r>
        <w:rPr>
          <w:sz w:val="24"/>
          <w:szCs w:val="24"/>
          <w:lang w:val="en-US"/>
        </w:rPr>
        <w:t>已建成部分实际投资120万元，职工9人。可形成半固态调味品50t/、液态调味品2t/a、固态调味品60t/的生产能力。</w:t>
      </w:r>
    </w:p>
    <w:p>
      <w:pPr>
        <w:spacing w:line="420" w:lineRule="exact"/>
        <w:ind w:firstLine="482" w:firstLineChars="200"/>
        <w:outlineLvl w:val="0"/>
        <w:rPr>
          <w:b/>
          <w:color w:val="auto"/>
          <w:sz w:val="24"/>
          <w:szCs w:val="24"/>
        </w:rPr>
      </w:pPr>
      <w:r>
        <w:rPr>
          <w:b/>
          <w:color w:val="auto"/>
          <w:sz w:val="24"/>
          <w:szCs w:val="24"/>
        </w:rPr>
        <w:t>二、项目变动情况</w:t>
      </w:r>
    </w:p>
    <w:p>
      <w:pPr>
        <w:spacing w:line="420" w:lineRule="exact"/>
        <w:ind w:firstLine="480" w:firstLineChars="200"/>
        <w:rPr>
          <w:rFonts w:hint="eastAsia"/>
          <w:color w:val="auto"/>
          <w:sz w:val="24"/>
          <w:szCs w:val="24"/>
        </w:rPr>
      </w:pPr>
      <w:r>
        <w:rPr>
          <w:rFonts w:hint="eastAsia"/>
          <w:color w:val="auto"/>
          <w:sz w:val="24"/>
          <w:szCs w:val="24"/>
        </w:rPr>
        <w:t>项目一期</w:t>
      </w:r>
      <w:r>
        <w:rPr>
          <w:rFonts w:hint="default"/>
          <w:color w:val="auto"/>
          <w:sz w:val="24"/>
          <w:szCs w:val="24"/>
          <w:lang w:val="en-US"/>
        </w:rPr>
        <w:t>加温设施由环评报告表中的</w:t>
      </w:r>
      <w:r>
        <w:rPr>
          <w:rFonts w:hint="eastAsia"/>
          <w:color w:val="auto"/>
          <w:sz w:val="24"/>
          <w:szCs w:val="24"/>
        </w:rPr>
        <w:t>电蒸汽发生器改为</w:t>
      </w:r>
      <w:r>
        <w:rPr>
          <w:rFonts w:hint="default"/>
          <w:color w:val="auto"/>
          <w:sz w:val="24"/>
          <w:szCs w:val="24"/>
          <w:lang w:val="en-US"/>
        </w:rPr>
        <w:t>一期配套所需的0.7t/a</w:t>
      </w:r>
      <w:r>
        <w:rPr>
          <w:rFonts w:hint="eastAsia"/>
          <w:color w:val="auto"/>
          <w:sz w:val="24"/>
          <w:szCs w:val="24"/>
        </w:rPr>
        <w:t>燃气蒸汽发生器</w:t>
      </w:r>
      <w:r>
        <w:rPr>
          <w:rFonts w:hint="default"/>
          <w:color w:val="auto"/>
          <w:sz w:val="24"/>
          <w:szCs w:val="24"/>
          <w:lang w:val="en-US"/>
        </w:rPr>
        <w:t>。</w:t>
      </w:r>
    </w:p>
    <w:p>
      <w:pPr>
        <w:spacing w:line="420" w:lineRule="exact"/>
        <w:ind w:firstLine="480" w:firstLineChars="200"/>
        <w:rPr>
          <w:rFonts w:hint="eastAsia"/>
          <w:color w:val="auto"/>
          <w:sz w:val="24"/>
          <w:szCs w:val="24"/>
        </w:rPr>
      </w:pPr>
      <w:r>
        <w:rPr>
          <w:rFonts w:hint="eastAsia"/>
          <w:color w:val="auto"/>
          <w:sz w:val="24"/>
          <w:szCs w:val="24"/>
        </w:rPr>
        <w:t>根据环评分类管理名录，</w:t>
      </w:r>
      <w:r>
        <w:rPr>
          <w:rFonts w:hint="default"/>
          <w:color w:val="auto"/>
          <w:sz w:val="24"/>
          <w:szCs w:val="24"/>
          <w:lang w:val="en-US"/>
        </w:rPr>
        <w:t>小于</w:t>
      </w:r>
      <w:r>
        <w:rPr>
          <w:rFonts w:hint="eastAsia"/>
          <w:color w:val="auto"/>
          <w:sz w:val="24"/>
          <w:szCs w:val="24"/>
        </w:rPr>
        <w:t>1t/h燃气蒸汽</w:t>
      </w:r>
      <w:r>
        <w:rPr>
          <w:rFonts w:hint="default"/>
          <w:color w:val="auto"/>
          <w:sz w:val="24"/>
          <w:szCs w:val="24"/>
          <w:lang w:val="en-US"/>
        </w:rPr>
        <w:t>锅炉</w:t>
      </w:r>
      <w:r>
        <w:rPr>
          <w:rFonts w:hint="eastAsia"/>
          <w:color w:val="auto"/>
          <w:sz w:val="24"/>
          <w:szCs w:val="24"/>
        </w:rPr>
        <w:t>不需要办理环评手续。</w:t>
      </w:r>
      <w:r>
        <w:rPr>
          <w:rFonts w:hint="default"/>
          <w:color w:val="auto"/>
          <w:sz w:val="24"/>
          <w:szCs w:val="24"/>
          <w:lang w:val="en-US"/>
        </w:rPr>
        <w:t>因此，该变更不属于重大变动。</w:t>
      </w:r>
    </w:p>
    <w:p>
      <w:pPr>
        <w:spacing w:line="420" w:lineRule="exact"/>
        <w:ind w:firstLine="482" w:firstLineChars="200"/>
        <w:outlineLvl w:val="0"/>
        <w:rPr>
          <w:b/>
          <w:color w:val="auto"/>
          <w:sz w:val="24"/>
          <w:szCs w:val="24"/>
        </w:rPr>
      </w:pPr>
      <w:r>
        <w:rPr>
          <w:b/>
          <w:color w:val="auto"/>
          <w:sz w:val="24"/>
          <w:szCs w:val="24"/>
        </w:rPr>
        <w:t>三、环境保护设施建设情况</w:t>
      </w:r>
    </w:p>
    <w:p>
      <w:pPr>
        <w:spacing w:line="420" w:lineRule="exact"/>
        <w:ind w:firstLine="480" w:firstLineChars="200"/>
        <w:outlineLvl w:val="1"/>
        <w:rPr>
          <w:color w:val="auto"/>
          <w:sz w:val="24"/>
          <w:szCs w:val="24"/>
        </w:rPr>
      </w:pPr>
      <w:r>
        <w:rPr>
          <w:color w:val="auto"/>
          <w:sz w:val="24"/>
          <w:szCs w:val="24"/>
        </w:rPr>
        <w:t>（一）废水</w:t>
      </w:r>
    </w:p>
    <w:p>
      <w:pPr>
        <w:spacing w:line="420" w:lineRule="exact"/>
        <w:ind w:firstLine="480" w:firstLineChars="200"/>
        <w:rPr>
          <w:rFonts w:hint="eastAsia"/>
          <w:color w:val="auto"/>
          <w:sz w:val="24"/>
          <w:szCs w:val="24"/>
        </w:rPr>
      </w:pPr>
      <w:r>
        <w:rPr>
          <w:rFonts w:hint="eastAsia"/>
          <w:color w:val="auto"/>
          <w:sz w:val="24"/>
          <w:szCs w:val="24"/>
        </w:rPr>
        <w:t>项目净水设备（反渗透）产生的浓水和锅炉排污水，用于厂区洒水抑尘用水，不外排；</w:t>
      </w:r>
    </w:p>
    <w:p>
      <w:pPr>
        <w:spacing w:line="420" w:lineRule="exact"/>
        <w:ind w:firstLine="480" w:firstLineChars="200"/>
        <w:rPr>
          <w:rFonts w:hint="eastAsia"/>
          <w:color w:val="auto"/>
          <w:sz w:val="24"/>
          <w:szCs w:val="24"/>
        </w:rPr>
      </w:pPr>
      <w:r>
        <w:rPr>
          <w:rFonts w:hint="eastAsia"/>
          <w:color w:val="auto"/>
          <w:sz w:val="24"/>
          <w:szCs w:val="24"/>
        </w:rPr>
        <w:t>半固态调味品生产过程产生的水蒸汽经冷凝处理后回用于产品，不外排；</w:t>
      </w:r>
    </w:p>
    <w:p>
      <w:pPr>
        <w:spacing w:line="420" w:lineRule="exact"/>
        <w:ind w:firstLine="480" w:firstLineChars="200"/>
        <w:rPr>
          <w:rFonts w:hint="eastAsia"/>
          <w:color w:val="auto"/>
          <w:sz w:val="24"/>
          <w:szCs w:val="24"/>
        </w:rPr>
      </w:pPr>
      <w:r>
        <w:rPr>
          <w:rFonts w:hint="eastAsia"/>
          <w:color w:val="auto"/>
          <w:sz w:val="24"/>
          <w:szCs w:val="24"/>
        </w:rPr>
        <w:t>生活污水经化粪池处理后通过市政管网排入青岛崇杰环保平度污水处理有限公司，处理后排入泽河。</w:t>
      </w:r>
    </w:p>
    <w:p>
      <w:pPr>
        <w:spacing w:line="420" w:lineRule="exact"/>
        <w:ind w:firstLine="480" w:firstLineChars="200"/>
        <w:outlineLvl w:val="1"/>
        <w:rPr>
          <w:color w:val="auto"/>
          <w:sz w:val="24"/>
          <w:szCs w:val="24"/>
        </w:rPr>
      </w:pPr>
      <w:r>
        <w:rPr>
          <w:color w:val="auto"/>
          <w:sz w:val="24"/>
          <w:szCs w:val="24"/>
        </w:rPr>
        <w:t>（二）废气</w:t>
      </w:r>
    </w:p>
    <w:p>
      <w:pPr>
        <w:spacing w:line="420" w:lineRule="exact"/>
        <w:ind w:firstLine="480" w:firstLineChars="200"/>
        <w:outlineLvl w:val="2"/>
        <w:rPr>
          <w:rFonts w:hint="eastAsia"/>
          <w:color w:val="auto"/>
          <w:sz w:val="24"/>
          <w:szCs w:val="24"/>
        </w:rPr>
      </w:pPr>
      <w:r>
        <w:rPr>
          <w:rFonts w:hint="default"/>
          <w:color w:val="auto"/>
          <w:sz w:val="24"/>
          <w:szCs w:val="24"/>
          <w:lang w:val="en-US"/>
        </w:rPr>
        <w:t>1、</w:t>
      </w:r>
      <w:r>
        <w:rPr>
          <w:rFonts w:hint="eastAsia"/>
          <w:color w:val="auto"/>
          <w:sz w:val="24"/>
          <w:szCs w:val="24"/>
        </w:rPr>
        <w:t>有组织废气</w:t>
      </w:r>
    </w:p>
    <w:p>
      <w:pPr>
        <w:spacing w:line="420" w:lineRule="exact"/>
        <w:ind w:firstLine="480" w:firstLineChars="200"/>
        <w:rPr>
          <w:rFonts w:hint="eastAsia"/>
          <w:color w:val="auto"/>
          <w:sz w:val="24"/>
          <w:szCs w:val="24"/>
        </w:rPr>
      </w:pPr>
      <w:r>
        <w:rPr>
          <w:rFonts w:hint="eastAsia"/>
          <w:color w:val="auto"/>
          <w:sz w:val="24"/>
          <w:szCs w:val="24"/>
        </w:rPr>
        <w:t>颗粒物和异味：车间废气收集</w:t>
      </w:r>
      <w:r>
        <w:rPr>
          <w:rFonts w:hint="default"/>
          <w:color w:val="auto"/>
          <w:sz w:val="24"/>
          <w:szCs w:val="24"/>
          <w:lang w:val="en-US"/>
        </w:rPr>
        <w:t>后经</w:t>
      </w:r>
      <w:r>
        <w:rPr>
          <w:rFonts w:hint="eastAsia"/>
          <w:color w:val="auto"/>
          <w:sz w:val="24"/>
          <w:szCs w:val="24"/>
        </w:rPr>
        <w:t>布袋除尘器+活性炭吸附装置</w:t>
      </w:r>
      <w:r>
        <w:rPr>
          <w:rFonts w:hint="default"/>
          <w:color w:val="auto"/>
          <w:sz w:val="24"/>
          <w:szCs w:val="24"/>
          <w:lang w:val="en-US"/>
        </w:rPr>
        <w:t>处理，通过</w:t>
      </w:r>
      <w:r>
        <w:rPr>
          <w:rFonts w:hint="eastAsia"/>
          <w:color w:val="auto"/>
          <w:sz w:val="24"/>
          <w:szCs w:val="24"/>
        </w:rPr>
        <w:t>15m排气筒P1</w:t>
      </w:r>
      <w:r>
        <w:rPr>
          <w:rFonts w:hint="default"/>
          <w:color w:val="auto"/>
          <w:sz w:val="24"/>
          <w:szCs w:val="24"/>
          <w:lang w:val="en-US"/>
        </w:rPr>
        <w:t>排放</w:t>
      </w:r>
      <w:r>
        <w:rPr>
          <w:rFonts w:hint="eastAsia"/>
          <w:color w:val="auto"/>
          <w:sz w:val="24"/>
          <w:szCs w:val="24"/>
        </w:rPr>
        <w:t>；蒸汽：冷凝器+同一套活性炭吸附装置+15m 排气筒 P1。</w:t>
      </w:r>
    </w:p>
    <w:p>
      <w:pPr>
        <w:spacing w:line="420" w:lineRule="exact"/>
        <w:ind w:firstLine="480" w:firstLineChars="200"/>
        <w:rPr>
          <w:rFonts w:hint="eastAsia"/>
          <w:color w:val="auto"/>
          <w:sz w:val="24"/>
          <w:szCs w:val="24"/>
        </w:rPr>
      </w:pPr>
      <w:r>
        <w:rPr>
          <w:rFonts w:hint="eastAsia"/>
          <w:color w:val="auto"/>
          <w:sz w:val="24"/>
          <w:szCs w:val="24"/>
        </w:rPr>
        <w:t>燃气</w:t>
      </w:r>
      <w:r>
        <w:rPr>
          <w:rFonts w:hint="default"/>
          <w:color w:val="auto"/>
          <w:sz w:val="24"/>
          <w:szCs w:val="24"/>
          <w:lang w:val="en-US"/>
        </w:rPr>
        <w:t>蒸汽发生器</w:t>
      </w:r>
      <w:r>
        <w:rPr>
          <w:rFonts w:hint="eastAsia"/>
          <w:color w:val="auto"/>
          <w:sz w:val="24"/>
          <w:szCs w:val="24"/>
        </w:rPr>
        <w:t>：采用低氮燃烧技术，</w:t>
      </w:r>
      <w:r>
        <w:rPr>
          <w:rFonts w:hint="default"/>
          <w:color w:val="auto"/>
          <w:sz w:val="24"/>
          <w:szCs w:val="24"/>
          <w:lang w:val="en-US"/>
        </w:rPr>
        <w:t>燃烧废气通过</w:t>
      </w:r>
      <w:r>
        <w:rPr>
          <w:rFonts w:hint="eastAsia"/>
          <w:color w:val="auto"/>
          <w:sz w:val="24"/>
          <w:szCs w:val="24"/>
        </w:rPr>
        <w:t>15m排气筒P2</w:t>
      </w:r>
      <w:r>
        <w:rPr>
          <w:rFonts w:hint="default"/>
          <w:color w:val="auto"/>
          <w:sz w:val="24"/>
          <w:szCs w:val="24"/>
          <w:lang w:val="en-US"/>
        </w:rPr>
        <w:t>排放。</w:t>
      </w:r>
    </w:p>
    <w:p>
      <w:pPr>
        <w:spacing w:line="420" w:lineRule="exact"/>
        <w:ind w:firstLine="480" w:firstLineChars="200"/>
        <w:outlineLvl w:val="2"/>
        <w:rPr>
          <w:rFonts w:hint="eastAsia"/>
          <w:color w:val="auto"/>
          <w:sz w:val="24"/>
          <w:szCs w:val="24"/>
        </w:rPr>
      </w:pPr>
      <w:r>
        <w:rPr>
          <w:rFonts w:hint="default"/>
          <w:color w:val="auto"/>
          <w:sz w:val="24"/>
          <w:szCs w:val="24"/>
          <w:lang w:val="en-US"/>
        </w:rPr>
        <w:t>2、</w:t>
      </w:r>
      <w:r>
        <w:rPr>
          <w:rFonts w:hint="eastAsia"/>
          <w:color w:val="auto"/>
          <w:sz w:val="24"/>
          <w:szCs w:val="24"/>
        </w:rPr>
        <w:t>无组织废气</w:t>
      </w:r>
    </w:p>
    <w:p>
      <w:pPr>
        <w:spacing w:line="420" w:lineRule="exact"/>
        <w:ind w:firstLine="480" w:firstLineChars="200"/>
        <w:rPr>
          <w:rFonts w:hint="eastAsia"/>
          <w:color w:val="auto"/>
          <w:sz w:val="24"/>
          <w:szCs w:val="24"/>
        </w:rPr>
      </w:pPr>
      <w:r>
        <w:rPr>
          <w:rFonts w:hint="eastAsia"/>
          <w:color w:val="auto"/>
          <w:sz w:val="24"/>
          <w:szCs w:val="24"/>
        </w:rPr>
        <w:t>项目生产中未经集气系统收集的粉尘和异味，经车间无组织排放。</w:t>
      </w:r>
    </w:p>
    <w:p>
      <w:pPr>
        <w:spacing w:line="420" w:lineRule="exact"/>
        <w:ind w:firstLine="480" w:firstLineChars="200"/>
        <w:outlineLvl w:val="1"/>
        <w:rPr>
          <w:color w:val="auto"/>
          <w:sz w:val="24"/>
          <w:szCs w:val="24"/>
        </w:rPr>
      </w:pPr>
      <w:r>
        <w:rPr>
          <w:color w:val="auto"/>
          <w:sz w:val="24"/>
          <w:szCs w:val="24"/>
        </w:rPr>
        <w:t>（三）噪声</w:t>
      </w:r>
    </w:p>
    <w:p>
      <w:pPr>
        <w:spacing w:line="420" w:lineRule="exact"/>
        <w:ind w:firstLine="480" w:firstLineChars="200"/>
        <w:rPr>
          <w:rFonts w:hint="eastAsia"/>
          <w:color w:val="auto"/>
          <w:sz w:val="24"/>
          <w:szCs w:val="24"/>
        </w:rPr>
      </w:pPr>
      <w:r>
        <w:rPr>
          <w:rFonts w:hint="eastAsia"/>
          <w:color w:val="auto"/>
          <w:sz w:val="24"/>
          <w:szCs w:val="24"/>
        </w:rPr>
        <w:t>本项目噪声主要为生产车间内的灌装机、粉碎机、分装机和风机等设备的运行噪声。</w:t>
      </w:r>
      <w:r>
        <w:rPr>
          <w:rFonts w:hint="default"/>
          <w:color w:val="auto"/>
          <w:sz w:val="24"/>
          <w:szCs w:val="24"/>
          <w:lang w:val="en-US"/>
        </w:rPr>
        <w:t>项目</w:t>
      </w:r>
      <w:r>
        <w:rPr>
          <w:rFonts w:hint="eastAsia"/>
          <w:color w:val="auto"/>
          <w:sz w:val="24"/>
          <w:szCs w:val="24"/>
        </w:rPr>
        <w:t>采取</w:t>
      </w:r>
      <w:r>
        <w:rPr>
          <w:rFonts w:hint="default"/>
          <w:color w:val="auto"/>
          <w:sz w:val="24"/>
          <w:szCs w:val="24"/>
          <w:lang w:val="en-US"/>
        </w:rPr>
        <w:t>了</w:t>
      </w:r>
      <w:r>
        <w:rPr>
          <w:rFonts w:hint="eastAsia"/>
          <w:color w:val="auto"/>
          <w:sz w:val="24"/>
          <w:szCs w:val="24"/>
        </w:rPr>
        <w:t>减振、隔声等措施。</w:t>
      </w:r>
    </w:p>
    <w:p>
      <w:pPr>
        <w:spacing w:line="420" w:lineRule="exact"/>
        <w:ind w:firstLine="480" w:firstLineChars="200"/>
        <w:outlineLvl w:val="1"/>
        <w:rPr>
          <w:color w:val="auto"/>
          <w:sz w:val="24"/>
          <w:szCs w:val="24"/>
        </w:rPr>
      </w:pPr>
      <w:r>
        <w:rPr>
          <w:color w:val="auto"/>
          <w:sz w:val="24"/>
          <w:szCs w:val="24"/>
        </w:rPr>
        <w:t>（四）固废</w:t>
      </w:r>
    </w:p>
    <w:p>
      <w:pPr>
        <w:spacing w:line="420" w:lineRule="exact"/>
        <w:ind w:firstLine="480" w:firstLineChars="200"/>
        <w:rPr>
          <w:rFonts w:hint="eastAsia"/>
          <w:color w:val="auto"/>
          <w:sz w:val="24"/>
          <w:szCs w:val="24"/>
          <w:lang w:val="en-US" w:eastAsia="zh-CN"/>
        </w:rPr>
      </w:pPr>
      <w:r>
        <w:rPr>
          <w:rFonts w:hint="eastAsia"/>
          <w:color w:val="auto"/>
          <w:sz w:val="24"/>
          <w:szCs w:val="24"/>
          <w:lang w:val="en-US" w:eastAsia="zh-CN"/>
        </w:rPr>
        <w:t>项目营运期固废主要是设备和地面清洗废液、化验室废液、废试剂包装材料、废器皿、废试剂、回收颗粒物、废活性炭、废包装材料、废反渗透膜以及职工生活垃圾。</w:t>
      </w:r>
    </w:p>
    <w:p>
      <w:pPr>
        <w:spacing w:line="420" w:lineRule="exact"/>
        <w:ind w:firstLine="480" w:firstLineChars="200"/>
        <w:rPr>
          <w:rFonts w:hint="eastAsia"/>
          <w:color w:val="auto"/>
          <w:sz w:val="24"/>
          <w:szCs w:val="24"/>
          <w:lang w:val="en-US" w:eastAsia="zh-CN"/>
        </w:rPr>
      </w:pPr>
      <w:r>
        <w:rPr>
          <w:rFonts w:hint="eastAsia"/>
          <w:color w:val="auto"/>
          <w:sz w:val="24"/>
          <w:szCs w:val="24"/>
          <w:lang w:val="en-US" w:eastAsia="zh-CN"/>
        </w:rPr>
        <w:t>项目废活性炭、回收颗粒物、废包装材料、废反渗透膜等，均属于一般工业固体废物，置于专门贮存场所收集存放，回收颗粒物集中收集后外卖做饲料；废包装材料由废品回收站回收；废活性炭由供应商回收；废反渗透膜由固定厂家回收利用。</w:t>
      </w:r>
    </w:p>
    <w:p>
      <w:pPr>
        <w:spacing w:line="420" w:lineRule="exact"/>
        <w:ind w:firstLine="480" w:firstLineChars="200"/>
        <w:rPr>
          <w:rFonts w:hint="eastAsia"/>
          <w:color w:val="auto"/>
          <w:sz w:val="24"/>
          <w:szCs w:val="24"/>
          <w:lang w:val="en-US" w:eastAsia="zh-CN"/>
        </w:rPr>
      </w:pPr>
      <w:r>
        <w:rPr>
          <w:rFonts w:hint="eastAsia"/>
          <w:color w:val="auto"/>
          <w:sz w:val="24"/>
          <w:szCs w:val="24"/>
          <w:lang w:val="en-US" w:eastAsia="zh-CN"/>
        </w:rPr>
        <w:t>设备和地面清洗废液、化验废液、废试剂包装材料和废器皿、废试剂，以上均属于危险废物，均暂存厂内危废暂存库的室内容器内，定期委托有资质的危险废物处理单位处置。</w:t>
      </w:r>
    </w:p>
    <w:p>
      <w:pPr>
        <w:spacing w:line="420" w:lineRule="exact"/>
        <w:ind w:firstLine="480" w:firstLineChars="200"/>
        <w:rPr>
          <w:rFonts w:hint="eastAsia"/>
          <w:color w:val="auto"/>
          <w:sz w:val="24"/>
          <w:szCs w:val="24"/>
          <w:lang w:val="en-US" w:eastAsia="zh-CN"/>
        </w:rPr>
      </w:pPr>
      <w:r>
        <w:rPr>
          <w:rFonts w:hint="eastAsia"/>
          <w:color w:val="auto"/>
          <w:sz w:val="24"/>
          <w:szCs w:val="24"/>
          <w:lang w:val="en-US" w:eastAsia="zh-CN"/>
        </w:rPr>
        <w:t>生活垃圾由环卫部门定期清运。</w:t>
      </w:r>
    </w:p>
    <w:p>
      <w:pPr>
        <w:spacing w:line="420" w:lineRule="exact"/>
        <w:ind w:firstLine="480" w:firstLineChars="200"/>
        <w:outlineLvl w:val="1"/>
        <w:rPr>
          <w:color w:val="auto"/>
          <w:sz w:val="24"/>
          <w:szCs w:val="24"/>
        </w:rPr>
      </w:pPr>
      <w:r>
        <w:rPr>
          <w:color w:val="auto"/>
          <w:sz w:val="24"/>
          <w:szCs w:val="24"/>
        </w:rPr>
        <w:t>（五）环境风险</w:t>
      </w:r>
    </w:p>
    <w:p>
      <w:pPr>
        <w:spacing w:line="420" w:lineRule="exact"/>
        <w:ind w:firstLine="480" w:firstLineChars="200"/>
        <w:rPr>
          <w:rFonts w:hint="eastAsia"/>
          <w:color w:val="auto"/>
          <w:sz w:val="24"/>
          <w:szCs w:val="24"/>
        </w:rPr>
      </w:pPr>
      <w:r>
        <w:rPr>
          <w:rFonts w:hint="eastAsia"/>
          <w:color w:val="auto"/>
          <w:sz w:val="24"/>
          <w:szCs w:val="24"/>
        </w:rPr>
        <w:t>本项目涉及的废气风险主要为环保设施故障和天然气发生泄漏引发的火灾次生等环境污染事故。针对存在的环境风险，企业安排专业技术人员负责环保设施和天然气管道厂内部分的的日常维护和管理，并对环保设施定期监测确保污染物稳定达标排放，车间配置灭火器、消防栓等消防器材以预防环境污染事故发生。同时，企业编制了《</w:t>
      </w:r>
      <w:r>
        <w:rPr>
          <w:rFonts w:hint="eastAsia"/>
          <w:color w:val="auto"/>
          <w:sz w:val="24"/>
          <w:szCs w:val="24"/>
          <w:lang w:eastAsia="zh-CN"/>
        </w:rPr>
        <w:t>青岛裕鸿食品配料有限公司</w:t>
      </w:r>
      <w:r>
        <w:rPr>
          <w:rFonts w:hint="eastAsia"/>
          <w:color w:val="auto"/>
          <w:sz w:val="24"/>
          <w:szCs w:val="24"/>
        </w:rPr>
        <w:t>突发环境事件应急预案》，并在当地环保部门备案。</w:t>
      </w:r>
    </w:p>
    <w:p>
      <w:pPr>
        <w:spacing w:line="420" w:lineRule="exact"/>
        <w:ind w:firstLine="482" w:firstLineChars="200"/>
        <w:outlineLvl w:val="0"/>
        <w:rPr>
          <w:b/>
          <w:color w:val="auto"/>
          <w:sz w:val="24"/>
          <w:szCs w:val="24"/>
        </w:rPr>
      </w:pPr>
      <w:r>
        <w:rPr>
          <w:b/>
          <w:color w:val="auto"/>
          <w:sz w:val="24"/>
          <w:szCs w:val="24"/>
        </w:rPr>
        <w:t>四、环保措施调试效果</w:t>
      </w:r>
    </w:p>
    <w:p>
      <w:pPr>
        <w:spacing w:line="420" w:lineRule="exact"/>
        <w:ind w:firstLine="480" w:firstLineChars="200"/>
        <w:rPr>
          <w:color w:val="auto"/>
          <w:sz w:val="24"/>
          <w:szCs w:val="24"/>
        </w:rPr>
      </w:pPr>
      <w:r>
        <w:rPr>
          <w:rFonts w:hint="eastAsia"/>
          <w:color w:val="auto"/>
          <w:sz w:val="24"/>
          <w:szCs w:val="24"/>
          <w:lang w:eastAsia="zh-CN"/>
        </w:rPr>
        <w:t>青岛裕鸿食品配料有限公司</w:t>
      </w:r>
      <w:r>
        <w:rPr>
          <w:color w:val="auto"/>
          <w:sz w:val="24"/>
          <w:szCs w:val="24"/>
        </w:rPr>
        <w:t>验收监测报告表明，验收监测期间：</w:t>
      </w:r>
    </w:p>
    <w:p>
      <w:pPr>
        <w:spacing w:line="420" w:lineRule="exact"/>
        <w:ind w:firstLine="480" w:firstLineChars="200"/>
        <w:rPr>
          <w:rFonts w:hint="eastAsia"/>
          <w:color w:val="auto"/>
          <w:sz w:val="24"/>
          <w:szCs w:val="24"/>
        </w:rPr>
      </w:pPr>
      <w:r>
        <w:rPr>
          <w:rFonts w:hint="eastAsia"/>
          <w:color w:val="auto"/>
          <w:sz w:val="24"/>
          <w:szCs w:val="24"/>
        </w:rPr>
        <w:t>车间废气排气筒P1中颗粒物排放浓度满足《区域性大气污染物综合排放标准》（DB 37/2376-2019）表1中重点控制区大气污染物排放浓度限值要求；排放速率满足《大气污染物综合排放标准》（GB 16297-1996）表2中二级标准；臭气浓度排放满足《恶臭污染物排放标准》（GB14554-93）表1排放标准。</w:t>
      </w:r>
    </w:p>
    <w:p>
      <w:pPr>
        <w:spacing w:line="420" w:lineRule="exact"/>
        <w:ind w:firstLine="480" w:firstLineChars="200"/>
        <w:rPr>
          <w:rFonts w:hint="eastAsia"/>
          <w:color w:val="auto"/>
          <w:sz w:val="24"/>
          <w:szCs w:val="24"/>
        </w:rPr>
      </w:pPr>
      <w:r>
        <w:rPr>
          <w:rFonts w:hint="eastAsia"/>
          <w:color w:val="auto"/>
          <w:sz w:val="24"/>
          <w:szCs w:val="24"/>
        </w:rPr>
        <w:t>锅炉排气筒P2中烟尘、SO2、NOX排放浓度和烟气林格曼黑度均满足《锅炉大气污染物排放标准》（DB 37/2374-2018）表2重点控制区标准要求。</w:t>
      </w:r>
    </w:p>
    <w:p>
      <w:pPr>
        <w:spacing w:line="420" w:lineRule="exact"/>
        <w:ind w:firstLine="480" w:firstLineChars="200"/>
        <w:rPr>
          <w:rFonts w:hint="eastAsia"/>
          <w:color w:val="auto"/>
          <w:sz w:val="24"/>
          <w:szCs w:val="24"/>
        </w:rPr>
      </w:pPr>
      <w:r>
        <w:rPr>
          <w:rFonts w:hint="eastAsia"/>
          <w:color w:val="auto"/>
          <w:sz w:val="24"/>
          <w:szCs w:val="24"/>
        </w:rPr>
        <w:t>无组织排放废气厂界监控点颗粒物满足《大气污染物综合排放标准》（GB 16297-1996）表2无组织排放监控浓度限值要求；臭气浓度满足《恶臭污染物排放标准》（GB 14554-93）表1中二级新建排放标准。</w:t>
      </w:r>
    </w:p>
    <w:p>
      <w:pPr>
        <w:spacing w:line="420" w:lineRule="exact"/>
        <w:ind w:firstLine="480" w:firstLineChars="200"/>
        <w:rPr>
          <w:color w:val="auto"/>
          <w:sz w:val="24"/>
          <w:szCs w:val="24"/>
        </w:rPr>
      </w:pPr>
      <w:r>
        <w:rPr>
          <w:color w:val="auto"/>
          <w:sz w:val="24"/>
          <w:szCs w:val="24"/>
        </w:rPr>
        <w:t>厂界昼</w:t>
      </w:r>
      <w:r>
        <w:rPr>
          <w:rFonts w:hint="eastAsia"/>
          <w:color w:val="auto"/>
          <w:sz w:val="24"/>
          <w:szCs w:val="24"/>
          <w:lang w:val="en-US" w:eastAsia="zh-CN"/>
        </w:rPr>
        <w:t>间</w:t>
      </w:r>
      <w:r>
        <w:rPr>
          <w:color w:val="auto"/>
          <w:sz w:val="24"/>
          <w:szCs w:val="24"/>
        </w:rPr>
        <w:t>噪声</w:t>
      </w:r>
      <w:r>
        <w:rPr>
          <w:rFonts w:hint="eastAsia"/>
          <w:color w:val="auto"/>
          <w:sz w:val="24"/>
          <w:szCs w:val="24"/>
        </w:rPr>
        <w:t>满足</w:t>
      </w:r>
      <w:r>
        <w:rPr>
          <w:color w:val="auto"/>
          <w:sz w:val="24"/>
          <w:szCs w:val="24"/>
        </w:rPr>
        <w:t>《工业企业厂界环境噪声排放标准》（GB12348-2008）表1中</w:t>
      </w:r>
      <w:r>
        <w:rPr>
          <w:rFonts w:hint="eastAsia"/>
          <w:color w:val="auto"/>
          <w:sz w:val="24"/>
          <w:szCs w:val="24"/>
          <w:lang w:val="en-US" w:eastAsia="zh-CN"/>
        </w:rPr>
        <w:t>2</w:t>
      </w:r>
      <w:r>
        <w:rPr>
          <w:color w:val="auto"/>
          <w:sz w:val="24"/>
          <w:szCs w:val="24"/>
        </w:rPr>
        <w:t>类标准。</w:t>
      </w:r>
    </w:p>
    <w:p>
      <w:pPr>
        <w:spacing w:line="420" w:lineRule="exact"/>
        <w:ind w:firstLine="482" w:firstLineChars="200"/>
        <w:outlineLvl w:val="0"/>
        <w:rPr>
          <w:b/>
          <w:color w:val="auto"/>
          <w:sz w:val="24"/>
          <w:szCs w:val="24"/>
        </w:rPr>
      </w:pPr>
      <w:r>
        <w:rPr>
          <w:b/>
          <w:color w:val="auto"/>
          <w:sz w:val="24"/>
          <w:szCs w:val="24"/>
        </w:rPr>
        <w:t>五、验收结论</w:t>
      </w:r>
    </w:p>
    <w:p>
      <w:pPr>
        <w:spacing w:line="420" w:lineRule="exact"/>
        <w:ind w:firstLine="480" w:firstLineChars="200"/>
        <w:rPr>
          <w:color w:val="auto"/>
          <w:sz w:val="24"/>
          <w:szCs w:val="24"/>
        </w:rPr>
      </w:pPr>
      <w:r>
        <w:rPr>
          <w:color w:val="auto"/>
          <w:sz w:val="24"/>
          <w:szCs w:val="24"/>
        </w:rPr>
        <w:t>项目已按环评和批复要求完成建设，无重大变动，污染物达标排放，验收监测报告结论可信，验收合格。</w:t>
      </w:r>
    </w:p>
    <w:p>
      <w:pPr>
        <w:spacing w:line="420" w:lineRule="exact"/>
        <w:ind w:firstLine="482" w:firstLineChars="200"/>
        <w:outlineLvl w:val="0"/>
        <w:rPr>
          <w:b/>
          <w:color w:val="auto"/>
          <w:sz w:val="24"/>
          <w:szCs w:val="24"/>
        </w:rPr>
      </w:pPr>
      <w:r>
        <w:rPr>
          <w:b/>
          <w:color w:val="auto"/>
          <w:sz w:val="24"/>
          <w:szCs w:val="24"/>
        </w:rPr>
        <w:t>六、后续要求</w:t>
      </w:r>
    </w:p>
    <w:p>
      <w:pPr>
        <w:spacing w:line="420" w:lineRule="exact"/>
        <w:ind w:firstLine="480" w:firstLineChars="200"/>
        <w:rPr>
          <w:color w:val="auto"/>
          <w:sz w:val="24"/>
          <w:szCs w:val="24"/>
        </w:rPr>
      </w:pPr>
      <w:r>
        <w:rPr>
          <w:color w:val="auto"/>
          <w:sz w:val="24"/>
          <w:szCs w:val="24"/>
        </w:rPr>
        <w:t>1、按照《排污单位自行监测技术指南-总则》(HJ819-2017)要求，自主组织进行污染源监测，并做好记录。</w:t>
      </w:r>
    </w:p>
    <w:p>
      <w:pPr>
        <w:spacing w:line="420" w:lineRule="exact"/>
        <w:ind w:firstLine="480" w:firstLineChars="200"/>
        <w:rPr>
          <w:color w:val="auto"/>
          <w:sz w:val="24"/>
          <w:szCs w:val="24"/>
        </w:rPr>
      </w:pPr>
      <w:r>
        <w:rPr>
          <w:color w:val="auto"/>
          <w:sz w:val="24"/>
          <w:szCs w:val="24"/>
        </w:rPr>
        <w:t>2、加强日常生产管理，减少地面杂散粉尘逸散：加强废气收集措施。</w:t>
      </w:r>
    </w:p>
    <w:p>
      <w:pPr>
        <w:spacing w:line="420" w:lineRule="exact"/>
        <w:ind w:firstLine="480" w:firstLineChars="200"/>
        <w:jc w:val="right"/>
        <w:rPr>
          <w:color w:val="auto"/>
          <w:sz w:val="24"/>
        </w:rPr>
      </w:pPr>
    </w:p>
    <w:p>
      <w:pPr>
        <w:spacing w:line="420" w:lineRule="exact"/>
        <w:ind w:firstLine="482" w:firstLineChars="200"/>
        <w:jc w:val="right"/>
        <w:outlineLvl w:val="0"/>
        <w:rPr>
          <w:rFonts w:hint="eastAsia" w:eastAsia="宋体"/>
          <w:b/>
          <w:bCs/>
          <w:color w:val="auto"/>
          <w:sz w:val="24"/>
          <w:lang w:eastAsia="zh-CN"/>
        </w:rPr>
      </w:pPr>
      <w:r>
        <w:rPr>
          <w:rFonts w:hint="eastAsia"/>
          <w:b/>
          <w:bCs/>
          <w:color w:val="auto"/>
          <w:sz w:val="24"/>
          <w:lang w:eastAsia="zh-CN"/>
        </w:rPr>
        <w:t>青岛裕鸿食品配料有限公司</w:t>
      </w:r>
    </w:p>
    <w:p>
      <w:pPr>
        <w:spacing w:line="420" w:lineRule="exact"/>
        <w:ind w:firstLine="482" w:firstLineChars="200"/>
        <w:jc w:val="right"/>
        <w:outlineLvl w:val="0"/>
        <w:rPr>
          <w:b/>
          <w:bCs/>
          <w:color w:val="auto"/>
          <w:sz w:val="24"/>
          <w:szCs w:val="24"/>
        </w:rPr>
      </w:pPr>
      <w:r>
        <w:rPr>
          <w:b/>
          <w:bCs/>
          <w:color w:val="auto"/>
          <w:sz w:val="24"/>
        </w:rPr>
        <w:t>202</w:t>
      </w:r>
      <w:r>
        <w:rPr>
          <w:rFonts w:hint="eastAsia"/>
          <w:b/>
          <w:bCs/>
          <w:color w:val="auto"/>
          <w:sz w:val="24"/>
        </w:rPr>
        <w:t>1</w:t>
      </w:r>
      <w:r>
        <w:rPr>
          <w:b/>
          <w:bCs/>
          <w:color w:val="auto"/>
          <w:sz w:val="24"/>
        </w:rPr>
        <w:t>年</w:t>
      </w:r>
      <w:r>
        <w:rPr>
          <w:rFonts w:hint="eastAsia"/>
          <w:b/>
          <w:bCs/>
          <w:color w:val="auto"/>
          <w:sz w:val="24"/>
          <w:lang w:val="en-US" w:eastAsia="zh-CN"/>
        </w:rPr>
        <w:t>11</w:t>
      </w:r>
      <w:r>
        <w:rPr>
          <w:b/>
          <w:bCs/>
          <w:color w:val="auto"/>
          <w:sz w:val="24"/>
        </w:rPr>
        <w:t>月</w:t>
      </w:r>
      <w:r>
        <w:rPr>
          <w:rFonts w:hint="eastAsia"/>
          <w:b/>
          <w:bCs/>
          <w:color w:val="auto"/>
          <w:sz w:val="24"/>
          <w:lang w:val="en-US" w:eastAsia="zh-CN"/>
        </w:rPr>
        <w:t>7</w:t>
      </w:r>
      <w:r>
        <w:rPr>
          <w:b/>
          <w:bCs/>
          <w:color w:val="auto"/>
          <w:sz w:val="24"/>
        </w:rPr>
        <w:t>日</w:t>
      </w:r>
    </w:p>
    <w:p>
      <w:pPr>
        <w:spacing w:line="420" w:lineRule="exact"/>
        <w:ind w:firstLine="482" w:firstLineChars="200"/>
        <w:jc w:val="right"/>
        <w:rPr>
          <w:b/>
          <w:bCs/>
          <w:color w:val="auto"/>
          <w:sz w:val="24"/>
          <w:szCs w:val="24"/>
        </w:rPr>
      </w:pPr>
      <w:r>
        <w:rPr>
          <w:b/>
          <w:bCs/>
          <w:color w:val="auto"/>
          <w:sz w:val="24"/>
          <w:szCs w:val="24"/>
          <w:lang w:val="en-US"/>
        </w:rPr>
        <w:br w:type="page"/>
      </w:r>
    </w:p>
    <w:p>
      <w:pPr>
        <w:spacing w:line="420" w:lineRule="exact"/>
        <w:ind w:firstLine="482" w:firstLineChars="200"/>
        <w:jc w:val="right"/>
        <w:rPr>
          <w:b/>
          <w:bCs/>
          <w:color w:val="auto"/>
          <w:sz w:val="24"/>
          <w:szCs w:val="24"/>
        </w:rPr>
      </w:pPr>
    </w:p>
    <w:p>
      <w:pPr>
        <w:spacing w:line="440" w:lineRule="exact"/>
        <w:rPr>
          <w:b/>
          <w:color w:val="auto"/>
          <w:sz w:val="36"/>
          <w:szCs w:val="36"/>
        </w:rPr>
      </w:pPr>
      <w:r>
        <w:rPr>
          <w:b/>
          <w:color w:val="auto"/>
          <w:sz w:val="36"/>
          <w:szCs w:val="36"/>
        </w:rPr>
        <w:t>附件：</w:t>
      </w:r>
    </w:p>
    <w:p>
      <w:pPr>
        <w:spacing w:line="276" w:lineRule="auto"/>
        <w:jc w:val="center"/>
        <w:rPr>
          <w:rFonts w:hint="eastAsia" w:eastAsia="宋体"/>
          <w:b/>
          <w:color w:val="auto"/>
          <w:sz w:val="32"/>
          <w:lang w:eastAsia="zh-CN"/>
        </w:rPr>
      </w:pPr>
      <w:r>
        <w:rPr>
          <w:rFonts w:hint="eastAsia"/>
          <w:b/>
          <w:color w:val="auto"/>
          <w:sz w:val="32"/>
          <w:lang w:eastAsia="zh-CN"/>
        </w:rPr>
        <w:t>青岛裕鸿食品配料有限公司</w:t>
      </w:r>
    </w:p>
    <w:p>
      <w:pPr>
        <w:spacing w:line="276" w:lineRule="auto"/>
        <w:jc w:val="center"/>
        <w:rPr>
          <w:rFonts w:hint="eastAsia" w:eastAsia="宋体"/>
          <w:color w:val="auto"/>
          <w:lang w:eastAsia="zh-CN"/>
        </w:rPr>
      </w:pPr>
      <w:r>
        <w:rPr>
          <w:rFonts w:hint="eastAsia"/>
          <w:b/>
          <w:color w:val="auto"/>
          <w:sz w:val="32"/>
          <w:lang w:eastAsia="zh-CN"/>
        </w:rPr>
        <w:t>调味品、食品添加剂生产项目（一期）</w:t>
      </w:r>
    </w:p>
    <w:p>
      <w:pPr>
        <w:spacing w:line="276" w:lineRule="auto"/>
        <w:jc w:val="center"/>
        <w:rPr>
          <w:color w:val="auto"/>
        </w:rPr>
      </w:pPr>
      <w:r>
        <w:rPr>
          <w:b/>
          <w:color w:val="auto"/>
          <w:sz w:val="32"/>
        </w:rPr>
        <w:t>竣工环境保护验收人员信息</w:t>
      </w:r>
    </w:p>
    <w:p>
      <w:pPr>
        <w:spacing w:line="360" w:lineRule="auto"/>
        <w:ind w:firstLine="482" w:firstLineChars="200"/>
        <w:rPr>
          <w:b/>
          <w:color w:val="auto"/>
          <w:sz w:val="24"/>
          <w:szCs w:val="24"/>
        </w:rPr>
      </w:pPr>
    </w:p>
    <w:tbl>
      <w:tblPr>
        <w:tblStyle w:val="12"/>
        <w:tblW w:w="4879" w:type="pct"/>
        <w:jc w:val="center"/>
        <w:tblLayout w:type="fixed"/>
        <w:tblCellMar>
          <w:top w:w="0" w:type="dxa"/>
          <w:left w:w="51" w:type="dxa"/>
          <w:bottom w:w="0" w:type="dxa"/>
          <w:right w:w="51" w:type="dxa"/>
        </w:tblCellMar>
      </w:tblPr>
      <w:tblGrid>
        <w:gridCol w:w="614"/>
        <w:gridCol w:w="1176"/>
        <w:gridCol w:w="995"/>
        <w:gridCol w:w="2360"/>
        <w:gridCol w:w="1028"/>
        <w:gridCol w:w="2038"/>
      </w:tblGrid>
      <w:tr>
        <w:tblPrEx>
          <w:tblCellMar>
            <w:top w:w="0" w:type="dxa"/>
            <w:left w:w="51" w:type="dxa"/>
            <w:bottom w:w="0" w:type="dxa"/>
            <w:right w:w="51" w:type="dxa"/>
          </w:tblCellMar>
        </w:tblPrEx>
        <w:trPr>
          <w:trHeight w:val="964" w:hRule="atLeast"/>
          <w:jc w:val="center"/>
        </w:trPr>
        <w:tc>
          <w:tcPr>
            <w:tcW w:w="179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r>
              <w:rPr>
                <w:rFonts w:hint="eastAsia" w:ascii="宋体" w:hAnsi="宋体" w:eastAsia="宋体" w:cs="宋体"/>
                <w:b/>
                <w:bCs/>
                <w:snapToGrid w:val="0"/>
                <w:color w:val="auto"/>
                <w:kern w:val="0"/>
                <w:sz w:val="24"/>
                <w:szCs w:val="24"/>
              </w:rPr>
              <w:t>验收组</w:t>
            </w:r>
          </w:p>
        </w:tc>
        <w:tc>
          <w:tcPr>
            <w:tcW w:w="99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r>
              <w:rPr>
                <w:rFonts w:hint="eastAsia" w:ascii="宋体" w:hAnsi="宋体" w:eastAsia="宋体" w:cs="宋体"/>
                <w:b/>
                <w:bCs/>
                <w:snapToGrid w:val="0"/>
                <w:color w:val="auto"/>
                <w:kern w:val="0"/>
                <w:sz w:val="24"/>
                <w:szCs w:val="24"/>
              </w:rPr>
              <w:t>姓  名</w:t>
            </w:r>
          </w:p>
        </w:tc>
        <w:tc>
          <w:tcPr>
            <w:tcW w:w="236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r>
              <w:rPr>
                <w:rFonts w:hint="eastAsia" w:ascii="宋体" w:hAnsi="宋体" w:eastAsia="宋体" w:cs="宋体"/>
                <w:b/>
                <w:bCs/>
                <w:snapToGrid w:val="0"/>
                <w:color w:val="auto"/>
                <w:kern w:val="0"/>
                <w:sz w:val="24"/>
                <w:szCs w:val="24"/>
              </w:rPr>
              <w:t>单      位</w:t>
            </w:r>
          </w:p>
        </w:tc>
        <w:tc>
          <w:tcPr>
            <w:tcW w:w="10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r>
              <w:rPr>
                <w:rFonts w:hint="eastAsia" w:ascii="宋体" w:hAnsi="宋体" w:eastAsia="宋体" w:cs="宋体"/>
                <w:b/>
                <w:bCs/>
                <w:snapToGrid w:val="0"/>
                <w:color w:val="auto"/>
                <w:kern w:val="0"/>
                <w:sz w:val="24"/>
                <w:szCs w:val="24"/>
              </w:rPr>
              <w:t>职务/</w:t>
            </w:r>
          </w:p>
          <w:p>
            <w:pPr>
              <w:adjustRightInd w:val="0"/>
              <w:snapToGrid w:val="0"/>
              <w:jc w:val="center"/>
              <w:rPr>
                <w:rFonts w:hint="eastAsia" w:ascii="宋体" w:hAnsi="宋体" w:eastAsia="宋体" w:cs="宋体"/>
                <w:color w:val="auto"/>
                <w:sz w:val="24"/>
                <w:szCs w:val="24"/>
              </w:rPr>
            </w:pPr>
            <w:r>
              <w:rPr>
                <w:rFonts w:hint="eastAsia" w:ascii="宋体" w:hAnsi="宋体" w:eastAsia="宋体" w:cs="宋体"/>
                <w:b/>
                <w:bCs/>
                <w:snapToGrid w:val="0"/>
                <w:color w:val="auto"/>
                <w:kern w:val="0"/>
                <w:sz w:val="24"/>
                <w:szCs w:val="24"/>
              </w:rPr>
              <w:t>职称</w:t>
            </w:r>
          </w:p>
        </w:tc>
        <w:tc>
          <w:tcPr>
            <w:tcW w:w="20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r>
              <w:rPr>
                <w:rFonts w:hint="eastAsia" w:ascii="宋体" w:hAnsi="宋体" w:eastAsia="宋体" w:cs="宋体"/>
                <w:b/>
                <w:bCs/>
                <w:snapToGrid w:val="0"/>
                <w:color w:val="auto"/>
                <w:kern w:val="0"/>
                <w:sz w:val="24"/>
                <w:szCs w:val="24"/>
              </w:rPr>
              <w:t>签  名</w:t>
            </w:r>
          </w:p>
        </w:tc>
      </w:tr>
      <w:tr>
        <w:tblPrEx>
          <w:tblCellMar>
            <w:top w:w="0" w:type="dxa"/>
            <w:left w:w="51" w:type="dxa"/>
            <w:bottom w:w="0" w:type="dxa"/>
            <w:right w:w="51" w:type="dxa"/>
          </w:tblCellMar>
        </w:tblPrEx>
        <w:trPr>
          <w:trHeight w:val="964" w:hRule="atLeast"/>
          <w:jc w:val="center"/>
        </w:trPr>
        <w:tc>
          <w:tcPr>
            <w:tcW w:w="614" w:type="dxa"/>
            <w:vMerge w:val="restart"/>
            <w:tcBorders>
              <w:top w:val="single" w:color="auto" w:sz="4" w:space="0"/>
              <w:left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r>
              <w:rPr>
                <w:rFonts w:hint="eastAsia" w:ascii="宋体" w:hAnsi="宋体" w:eastAsia="宋体" w:cs="宋体"/>
                <w:snapToGrid w:val="0"/>
                <w:color w:val="auto"/>
                <w:kern w:val="0"/>
                <w:sz w:val="24"/>
                <w:szCs w:val="24"/>
              </w:rPr>
              <w:t>组长</w:t>
            </w:r>
          </w:p>
        </w:tc>
        <w:tc>
          <w:tcPr>
            <w:tcW w:w="1176" w:type="dxa"/>
            <w:vMerge w:val="restart"/>
            <w:tcBorders>
              <w:top w:val="single" w:color="auto" w:sz="4" w:space="0"/>
              <w:left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r>
              <w:rPr>
                <w:rFonts w:hint="eastAsia" w:ascii="宋体" w:hAnsi="宋体" w:eastAsia="宋体" w:cs="宋体"/>
                <w:snapToGrid w:val="0"/>
                <w:color w:val="auto"/>
                <w:kern w:val="0"/>
                <w:sz w:val="24"/>
                <w:szCs w:val="24"/>
              </w:rPr>
              <w:t>建设单位</w:t>
            </w:r>
          </w:p>
        </w:tc>
        <w:tc>
          <w:tcPr>
            <w:tcW w:w="99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Cs/>
                <w:snapToGrid w:val="0"/>
                <w:color w:val="auto"/>
                <w:kern w:val="0"/>
                <w:sz w:val="24"/>
                <w:szCs w:val="24"/>
              </w:rPr>
            </w:pPr>
            <w:r>
              <w:rPr>
                <w:rFonts w:hint="eastAsia" w:ascii="宋体" w:hAnsi="宋体" w:eastAsia="宋体" w:cs="宋体"/>
                <w:bCs/>
                <w:snapToGrid w:val="0"/>
                <w:color w:val="auto"/>
                <w:kern w:val="0"/>
                <w:sz w:val="24"/>
                <w:szCs w:val="24"/>
              </w:rPr>
              <w:t>李仕青</w:t>
            </w:r>
          </w:p>
        </w:tc>
        <w:tc>
          <w:tcPr>
            <w:tcW w:w="236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Cs/>
                <w:snapToGrid w:val="0"/>
                <w:color w:val="auto"/>
                <w:kern w:val="0"/>
                <w:sz w:val="24"/>
                <w:szCs w:val="24"/>
              </w:rPr>
            </w:pPr>
            <w:r>
              <w:rPr>
                <w:rFonts w:hint="eastAsia" w:ascii="宋体" w:hAnsi="宋体" w:eastAsia="宋体" w:cs="宋体"/>
                <w:bCs/>
                <w:snapToGrid w:val="0"/>
                <w:color w:val="auto"/>
                <w:kern w:val="0"/>
                <w:sz w:val="24"/>
                <w:szCs w:val="24"/>
                <w:lang w:eastAsia="zh-CN"/>
              </w:rPr>
              <w:t>青岛裕鸿食品配料有限公司</w:t>
            </w:r>
          </w:p>
        </w:tc>
        <w:tc>
          <w:tcPr>
            <w:tcW w:w="10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Cs/>
                <w:snapToGrid w:val="0"/>
                <w:color w:val="auto"/>
                <w:kern w:val="0"/>
                <w:sz w:val="24"/>
                <w:szCs w:val="24"/>
                <w:lang w:val="en-US" w:eastAsia="zh-CN"/>
              </w:rPr>
            </w:pPr>
            <w:r>
              <w:rPr>
                <w:rFonts w:hint="eastAsia" w:ascii="宋体" w:hAnsi="宋体" w:eastAsia="宋体" w:cs="宋体"/>
                <w:bCs/>
                <w:snapToGrid w:val="0"/>
                <w:color w:val="auto"/>
                <w:kern w:val="0"/>
                <w:sz w:val="24"/>
                <w:szCs w:val="24"/>
                <w:lang w:val="en-US" w:eastAsia="zh-CN"/>
              </w:rPr>
              <w:t>总经理</w:t>
            </w:r>
          </w:p>
        </w:tc>
        <w:tc>
          <w:tcPr>
            <w:tcW w:w="20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p>
        </w:tc>
      </w:tr>
      <w:tr>
        <w:tblPrEx>
          <w:tblCellMar>
            <w:top w:w="0" w:type="dxa"/>
            <w:left w:w="51" w:type="dxa"/>
            <w:bottom w:w="0" w:type="dxa"/>
            <w:right w:w="51" w:type="dxa"/>
          </w:tblCellMar>
        </w:tblPrEx>
        <w:trPr>
          <w:trHeight w:val="964" w:hRule="atLeast"/>
          <w:jc w:val="center"/>
        </w:trPr>
        <w:tc>
          <w:tcPr>
            <w:tcW w:w="614" w:type="dxa"/>
            <w:vMerge w:val="continue"/>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napToGrid w:val="0"/>
                <w:color w:val="auto"/>
                <w:kern w:val="0"/>
                <w:sz w:val="24"/>
                <w:szCs w:val="24"/>
              </w:rPr>
            </w:pPr>
          </w:p>
        </w:tc>
        <w:tc>
          <w:tcPr>
            <w:tcW w:w="1176"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snapToGrid w:val="0"/>
                <w:color w:val="auto"/>
                <w:kern w:val="0"/>
                <w:sz w:val="24"/>
                <w:szCs w:val="24"/>
              </w:rPr>
            </w:pPr>
          </w:p>
        </w:tc>
        <w:tc>
          <w:tcPr>
            <w:tcW w:w="99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Cs/>
                <w:snapToGrid w:val="0"/>
                <w:color w:val="auto"/>
                <w:kern w:val="0"/>
                <w:sz w:val="24"/>
                <w:szCs w:val="24"/>
              </w:rPr>
            </w:pPr>
            <w:r>
              <w:rPr>
                <w:rFonts w:hint="eastAsia" w:ascii="宋体" w:hAnsi="宋体" w:eastAsia="宋体" w:cs="宋体"/>
                <w:bCs/>
                <w:snapToGrid w:val="0"/>
                <w:color w:val="auto"/>
                <w:kern w:val="0"/>
                <w:sz w:val="24"/>
                <w:szCs w:val="24"/>
              </w:rPr>
              <w:t>蔡娅妮</w:t>
            </w:r>
          </w:p>
        </w:tc>
        <w:tc>
          <w:tcPr>
            <w:tcW w:w="236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Cs/>
                <w:snapToGrid w:val="0"/>
                <w:color w:val="auto"/>
                <w:kern w:val="0"/>
                <w:sz w:val="24"/>
                <w:szCs w:val="24"/>
                <w:lang w:val="en-US" w:eastAsia="zh-CN"/>
              </w:rPr>
            </w:pPr>
            <w:r>
              <w:rPr>
                <w:rFonts w:hint="eastAsia" w:ascii="宋体" w:hAnsi="宋体" w:eastAsia="宋体" w:cs="宋体"/>
                <w:bCs/>
                <w:snapToGrid w:val="0"/>
                <w:color w:val="auto"/>
                <w:kern w:val="0"/>
                <w:sz w:val="24"/>
                <w:szCs w:val="24"/>
                <w:lang w:eastAsia="zh-CN"/>
              </w:rPr>
              <w:t>青岛裕鸿食品配料有限公司</w:t>
            </w:r>
          </w:p>
        </w:tc>
        <w:tc>
          <w:tcPr>
            <w:tcW w:w="10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bCs/>
                <w:snapToGrid w:val="0"/>
                <w:color w:val="auto"/>
                <w:kern w:val="0"/>
                <w:sz w:val="24"/>
                <w:szCs w:val="24"/>
                <w:lang w:val="en-US" w:eastAsia="zh-CN"/>
              </w:rPr>
            </w:pPr>
            <w:r>
              <w:rPr>
                <w:rFonts w:hint="eastAsia" w:ascii="宋体" w:hAnsi="宋体" w:eastAsia="宋体" w:cs="宋体"/>
                <w:bCs/>
                <w:snapToGrid w:val="0"/>
                <w:color w:val="auto"/>
                <w:kern w:val="0"/>
                <w:sz w:val="24"/>
                <w:szCs w:val="24"/>
                <w:lang w:val="en-US" w:eastAsia="zh-CN"/>
              </w:rPr>
              <w:t>办公室主任</w:t>
            </w:r>
          </w:p>
        </w:tc>
        <w:tc>
          <w:tcPr>
            <w:tcW w:w="20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p>
        </w:tc>
      </w:tr>
      <w:tr>
        <w:tblPrEx>
          <w:tblCellMar>
            <w:top w:w="0" w:type="dxa"/>
            <w:left w:w="51" w:type="dxa"/>
            <w:bottom w:w="0" w:type="dxa"/>
            <w:right w:w="51" w:type="dxa"/>
          </w:tblCellMar>
        </w:tblPrEx>
        <w:trPr>
          <w:trHeight w:val="964" w:hRule="atLeast"/>
          <w:jc w:val="center"/>
        </w:trPr>
        <w:tc>
          <w:tcPr>
            <w:tcW w:w="614" w:type="dxa"/>
            <w:vMerge w:val="restart"/>
            <w:tcBorders>
              <w:top w:val="single" w:color="auto" w:sz="4" w:space="0"/>
              <w:left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r>
              <w:rPr>
                <w:rFonts w:hint="eastAsia" w:ascii="宋体" w:hAnsi="宋体" w:eastAsia="宋体" w:cs="宋体"/>
                <w:snapToGrid w:val="0"/>
                <w:color w:val="auto"/>
                <w:kern w:val="0"/>
                <w:sz w:val="24"/>
                <w:szCs w:val="24"/>
              </w:rPr>
              <w:t>成员</w:t>
            </w:r>
          </w:p>
        </w:tc>
        <w:tc>
          <w:tcPr>
            <w:tcW w:w="117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r>
              <w:rPr>
                <w:rFonts w:hint="eastAsia" w:ascii="宋体" w:hAnsi="宋体" w:eastAsia="宋体" w:cs="宋体"/>
                <w:snapToGrid w:val="0"/>
                <w:color w:val="auto"/>
                <w:kern w:val="0"/>
                <w:sz w:val="24"/>
                <w:szCs w:val="24"/>
              </w:rPr>
              <w:t>验收报告编制单位</w:t>
            </w:r>
          </w:p>
        </w:tc>
        <w:tc>
          <w:tcPr>
            <w:tcW w:w="99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Cs/>
                <w:snapToGrid w:val="0"/>
                <w:color w:val="auto"/>
                <w:kern w:val="0"/>
                <w:sz w:val="24"/>
                <w:szCs w:val="24"/>
                <w:lang w:val="en-US" w:eastAsia="zh-CN"/>
              </w:rPr>
            </w:pPr>
            <w:r>
              <w:rPr>
                <w:rFonts w:hint="eastAsia" w:ascii="宋体" w:hAnsi="宋体" w:eastAsia="宋体" w:cs="宋体"/>
                <w:bCs/>
                <w:snapToGrid w:val="0"/>
                <w:color w:val="auto"/>
                <w:kern w:val="0"/>
                <w:sz w:val="24"/>
                <w:szCs w:val="24"/>
              </w:rPr>
              <w:t>姜建波</w:t>
            </w:r>
          </w:p>
        </w:tc>
        <w:tc>
          <w:tcPr>
            <w:tcW w:w="236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Cs/>
                <w:snapToGrid w:val="0"/>
                <w:color w:val="auto"/>
                <w:kern w:val="0"/>
                <w:sz w:val="24"/>
                <w:szCs w:val="24"/>
              </w:rPr>
            </w:pPr>
            <w:r>
              <w:rPr>
                <w:rFonts w:hint="eastAsia" w:ascii="宋体" w:hAnsi="宋体" w:eastAsia="宋体" w:cs="宋体"/>
                <w:bCs/>
                <w:snapToGrid w:val="0"/>
                <w:color w:val="auto"/>
                <w:kern w:val="0"/>
                <w:sz w:val="24"/>
                <w:szCs w:val="24"/>
                <w:lang w:eastAsia="zh-CN"/>
              </w:rPr>
              <w:t>青岛裕鸿食品配料有限公司</w:t>
            </w:r>
          </w:p>
        </w:tc>
        <w:tc>
          <w:tcPr>
            <w:tcW w:w="10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bCs/>
                <w:snapToGrid w:val="0"/>
                <w:color w:val="auto"/>
                <w:kern w:val="0"/>
                <w:sz w:val="24"/>
                <w:szCs w:val="24"/>
                <w:lang w:val="en-US" w:eastAsia="zh-CN"/>
              </w:rPr>
            </w:pPr>
            <w:r>
              <w:rPr>
                <w:rFonts w:hint="eastAsia" w:ascii="宋体" w:hAnsi="宋体" w:eastAsia="宋体" w:cs="宋体"/>
                <w:bCs/>
                <w:snapToGrid w:val="0"/>
                <w:color w:val="auto"/>
                <w:kern w:val="0"/>
                <w:sz w:val="24"/>
                <w:szCs w:val="24"/>
                <w:lang w:val="en-US" w:eastAsia="zh-CN"/>
              </w:rPr>
              <w:t>车间主任</w:t>
            </w:r>
          </w:p>
        </w:tc>
        <w:tc>
          <w:tcPr>
            <w:tcW w:w="20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p>
        </w:tc>
      </w:tr>
      <w:tr>
        <w:tblPrEx>
          <w:tblCellMar>
            <w:top w:w="0" w:type="dxa"/>
            <w:left w:w="51" w:type="dxa"/>
            <w:bottom w:w="0" w:type="dxa"/>
            <w:right w:w="51" w:type="dxa"/>
          </w:tblCellMar>
        </w:tblPrEx>
        <w:trPr>
          <w:trHeight w:val="964" w:hRule="atLeast"/>
          <w:jc w:val="center"/>
        </w:trPr>
        <w:tc>
          <w:tcPr>
            <w:tcW w:w="614"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p>
        </w:tc>
        <w:tc>
          <w:tcPr>
            <w:tcW w:w="117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napToGrid w:val="0"/>
                <w:color w:val="auto"/>
                <w:kern w:val="0"/>
                <w:sz w:val="24"/>
                <w:szCs w:val="24"/>
              </w:rPr>
            </w:pPr>
            <w:r>
              <w:rPr>
                <w:rFonts w:hint="eastAsia" w:ascii="宋体" w:hAnsi="宋体" w:eastAsia="宋体" w:cs="宋体"/>
                <w:snapToGrid w:val="0"/>
                <w:color w:val="auto"/>
                <w:kern w:val="0"/>
                <w:sz w:val="24"/>
                <w:szCs w:val="24"/>
              </w:rPr>
              <w:t>监测单位</w:t>
            </w:r>
          </w:p>
        </w:tc>
        <w:tc>
          <w:tcPr>
            <w:tcW w:w="99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Cs/>
                <w:snapToGrid w:val="0"/>
                <w:color w:val="auto"/>
                <w:kern w:val="0"/>
                <w:sz w:val="24"/>
                <w:szCs w:val="24"/>
                <w:lang w:val="en-US" w:eastAsia="zh-CN"/>
              </w:rPr>
            </w:pPr>
            <w:r>
              <w:rPr>
                <w:rFonts w:hint="eastAsia" w:ascii="宋体" w:hAnsi="宋体" w:cs="宋体"/>
                <w:bCs/>
                <w:snapToGrid w:val="0"/>
                <w:color w:val="auto"/>
                <w:kern w:val="0"/>
                <w:sz w:val="24"/>
                <w:szCs w:val="24"/>
                <w:lang w:val="en-US" w:eastAsia="zh-CN"/>
              </w:rPr>
              <w:t>程 伟</w:t>
            </w:r>
          </w:p>
        </w:tc>
        <w:tc>
          <w:tcPr>
            <w:tcW w:w="236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Cs/>
                <w:snapToGrid w:val="0"/>
                <w:color w:val="auto"/>
                <w:kern w:val="0"/>
                <w:sz w:val="24"/>
                <w:szCs w:val="24"/>
              </w:rPr>
            </w:pPr>
            <w:r>
              <w:rPr>
                <w:rFonts w:hint="eastAsia" w:ascii="宋体" w:hAnsi="宋体" w:eastAsia="宋体" w:cs="宋体"/>
                <w:bCs/>
                <w:snapToGrid w:val="0"/>
                <w:color w:val="auto"/>
                <w:kern w:val="0"/>
                <w:sz w:val="24"/>
                <w:szCs w:val="24"/>
              </w:rPr>
              <w:t>青岛中旭检测检验有限公司</w:t>
            </w:r>
          </w:p>
        </w:tc>
        <w:tc>
          <w:tcPr>
            <w:tcW w:w="10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Cs/>
                <w:snapToGrid w:val="0"/>
                <w:color w:val="auto"/>
                <w:kern w:val="0"/>
                <w:sz w:val="24"/>
                <w:szCs w:val="24"/>
                <w:lang w:val="en-US" w:eastAsia="zh-CN"/>
              </w:rPr>
            </w:pPr>
            <w:r>
              <w:rPr>
                <w:rFonts w:hint="eastAsia" w:ascii="宋体" w:hAnsi="宋体" w:eastAsia="宋体" w:cs="宋体"/>
                <w:bCs/>
                <w:snapToGrid w:val="0"/>
                <w:color w:val="auto"/>
                <w:kern w:val="0"/>
                <w:sz w:val="24"/>
                <w:szCs w:val="24"/>
                <w:lang w:val="en-US" w:eastAsia="zh-CN"/>
              </w:rPr>
              <w:t>工程师</w:t>
            </w:r>
          </w:p>
        </w:tc>
        <w:tc>
          <w:tcPr>
            <w:tcW w:w="20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p>
        </w:tc>
      </w:tr>
      <w:tr>
        <w:tblPrEx>
          <w:tblCellMar>
            <w:top w:w="0" w:type="dxa"/>
            <w:left w:w="51" w:type="dxa"/>
            <w:bottom w:w="0" w:type="dxa"/>
            <w:right w:w="51" w:type="dxa"/>
          </w:tblCellMar>
        </w:tblPrEx>
        <w:trPr>
          <w:trHeight w:val="964" w:hRule="atLeast"/>
          <w:jc w:val="center"/>
        </w:trPr>
        <w:tc>
          <w:tcPr>
            <w:tcW w:w="614" w:type="dxa"/>
            <w:vMerge w:val="continue"/>
            <w:tcBorders>
              <w:left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p>
        </w:tc>
        <w:tc>
          <w:tcPr>
            <w:tcW w:w="1176" w:type="dxa"/>
            <w:vMerge w:val="restart"/>
            <w:tcBorders>
              <w:top w:val="single" w:color="auto" w:sz="4" w:space="0"/>
              <w:left w:val="single" w:color="auto" w:sz="4" w:space="0"/>
              <w:right w:val="single" w:color="auto" w:sz="4" w:space="0"/>
            </w:tcBorders>
            <w:vAlign w:val="center"/>
          </w:tcPr>
          <w:p>
            <w:pPr>
              <w:adjustRightInd w:val="0"/>
              <w:snapToGrid w:val="0"/>
              <w:jc w:val="center"/>
              <w:rPr>
                <w:rFonts w:hint="eastAsia" w:ascii="宋体" w:hAnsi="宋体" w:eastAsia="宋体" w:cs="宋体"/>
                <w:snapToGrid w:val="0"/>
                <w:color w:val="auto"/>
                <w:kern w:val="0"/>
                <w:sz w:val="24"/>
                <w:szCs w:val="24"/>
                <w:lang w:val="en-US" w:eastAsia="zh-CN"/>
              </w:rPr>
            </w:pPr>
            <w:r>
              <w:rPr>
                <w:rFonts w:hint="eastAsia" w:ascii="宋体" w:hAnsi="宋体" w:eastAsia="宋体" w:cs="宋体"/>
                <w:snapToGrid w:val="0"/>
                <w:color w:val="auto"/>
                <w:kern w:val="0"/>
                <w:sz w:val="24"/>
                <w:szCs w:val="24"/>
                <w:lang w:val="en-US" w:eastAsia="zh-CN"/>
              </w:rPr>
              <w:t>专家</w:t>
            </w:r>
          </w:p>
        </w:tc>
        <w:tc>
          <w:tcPr>
            <w:tcW w:w="99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napToGrid w:val="0"/>
                <w:color w:val="auto"/>
                <w:kern w:val="0"/>
                <w:sz w:val="24"/>
                <w:szCs w:val="24"/>
                <w:lang w:val="en-US" w:eastAsia="zh-CN"/>
              </w:rPr>
            </w:pPr>
            <w:r>
              <w:rPr>
                <w:rFonts w:hint="eastAsia" w:ascii="宋体" w:hAnsi="宋体" w:eastAsia="宋体" w:cs="宋体"/>
                <w:snapToGrid w:val="0"/>
                <w:color w:val="auto"/>
                <w:kern w:val="0"/>
                <w:sz w:val="24"/>
                <w:szCs w:val="24"/>
                <w:lang w:val="en-US" w:eastAsia="zh-CN"/>
              </w:rPr>
              <w:t>谢洪波</w:t>
            </w:r>
          </w:p>
        </w:tc>
        <w:tc>
          <w:tcPr>
            <w:tcW w:w="236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Cs/>
                <w:snapToGrid w:val="0"/>
                <w:color w:val="auto"/>
                <w:kern w:val="0"/>
                <w:sz w:val="24"/>
                <w:szCs w:val="24"/>
                <w:lang w:val="en-US" w:eastAsia="zh-CN"/>
              </w:rPr>
            </w:pPr>
            <w:r>
              <w:rPr>
                <w:rFonts w:hint="eastAsia" w:ascii="宋体" w:hAnsi="宋体" w:eastAsia="宋体" w:cs="宋体"/>
                <w:bCs/>
                <w:snapToGrid w:val="0"/>
                <w:color w:val="auto"/>
                <w:kern w:val="0"/>
                <w:sz w:val="24"/>
                <w:szCs w:val="24"/>
                <w:lang w:val="en-US" w:eastAsia="zh-CN"/>
              </w:rPr>
              <w:t>青岛大学</w:t>
            </w:r>
          </w:p>
        </w:tc>
        <w:tc>
          <w:tcPr>
            <w:tcW w:w="10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napToGrid w:val="0"/>
                <w:color w:val="auto"/>
                <w:kern w:val="0"/>
                <w:sz w:val="24"/>
                <w:szCs w:val="24"/>
                <w:lang w:val="en-US" w:eastAsia="zh-CN"/>
              </w:rPr>
            </w:pPr>
            <w:r>
              <w:rPr>
                <w:rFonts w:hint="eastAsia" w:ascii="宋体" w:hAnsi="宋体" w:eastAsia="宋体" w:cs="宋体"/>
                <w:snapToGrid w:val="0"/>
                <w:color w:val="auto"/>
                <w:kern w:val="0"/>
                <w:sz w:val="24"/>
                <w:szCs w:val="24"/>
                <w:lang w:val="en-US" w:eastAsia="zh-CN"/>
              </w:rPr>
              <w:t>教授</w:t>
            </w:r>
          </w:p>
        </w:tc>
        <w:tc>
          <w:tcPr>
            <w:tcW w:w="20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p>
        </w:tc>
      </w:tr>
      <w:tr>
        <w:tblPrEx>
          <w:tblCellMar>
            <w:top w:w="0" w:type="dxa"/>
            <w:left w:w="51" w:type="dxa"/>
            <w:bottom w:w="0" w:type="dxa"/>
            <w:right w:w="51" w:type="dxa"/>
          </w:tblCellMar>
        </w:tblPrEx>
        <w:trPr>
          <w:trHeight w:val="964" w:hRule="atLeast"/>
          <w:jc w:val="center"/>
        </w:trPr>
        <w:tc>
          <w:tcPr>
            <w:tcW w:w="614" w:type="dxa"/>
            <w:vMerge w:val="continue"/>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p>
        </w:tc>
        <w:tc>
          <w:tcPr>
            <w:tcW w:w="1176" w:type="dxa"/>
            <w:vMerge w:val="continue"/>
            <w:tcBorders>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napToGrid w:val="0"/>
                <w:color w:val="auto"/>
                <w:kern w:val="0"/>
                <w:sz w:val="24"/>
                <w:szCs w:val="24"/>
              </w:rPr>
            </w:pPr>
          </w:p>
        </w:tc>
        <w:tc>
          <w:tcPr>
            <w:tcW w:w="99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napToGrid w:val="0"/>
                <w:color w:val="auto"/>
                <w:kern w:val="0"/>
                <w:sz w:val="24"/>
                <w:szCs w:val="24"/>
                <w:lang w:val="en-US" w:eastAsia="zh-CN"/>
              </w:rPr>
            </w:pPr>
            <w:r>
              <w:rPr>
                <w:rFonts w:hint="eastAsia" w:ascii="宋体" w:hAnsi="宋体" w:eastAsia="宋体" w:cs="宋体"/>
                <w:snapToGrid w:val="0"/>
                <w:color w:val="auto"/>
                <w:kern w:val="0"/>
                <w:sz w:val="24"/>
                <w:szCs w:val="24"/>
                <w:lang w:val="en-US" w:eastAsia="zh-CN"/>
              </w:rPr>
              <w:t>王</w:t>
            </w:r>
            <w:r>
              <w:rPr>
                <w:rFonts w:hint="eastAsia" w:ascii="宋体" w:hAnsi="宋体" w:cs="宋体"/>
                <w:snapToGrid w:val="0"/>
                <w:color w:val="auto"/>
                <w:kern w:val="0"/>
                <w:sz w:val="24"/>
                <w:szCs w:val="24"/>
                <w:lang w:val="en-US" w:eastAsia="zh-CN"/>
              </w:rPr>
              <w:t xml:space="preserve"> </w:t>
            </w:r>
            <w:r>
              <w:rPr>
                <w:rFonts w:hint="eastAsia" w:ascii="宋体" w:hAnsi="宋体" w:eastAsia="宋体" w:cs="宋体"/>
                <w:snapToGrid w:val="0"/>
                <w:color w:val="auto"/>
                <w:kern w:val="0"/>
                <w:sz w:val="24"/>
                <w:szCs w:val="24"/>
                <w:lang w:val="en-US" w:eastAsia="zh-CN"/>
              </w:rPr>
              <w:t>犇</w:t>
            </w:r>
          </w:p>
        </w:tc>
        <w:tc>
          <w:tcPr>
            <w:tcW w:w="236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bCs/>
                <w:snapToGrid w:val="0"/>
                <w:color w:val="auto"/>
                <w:kern w:val="0"/>
                <w:sz w:val="24"/>
                <w:szCs w:val="24"/>
                <w:lang w:val="en-US" w:eastAsia="zh-CN"/>
              </w:rPr>
            </w:pPr>
            <w:r>
              <w:rPr>
                <w:rFonts w:hint="eastAsia" w:ascii="宋体" w:hAnsi="宋体" w:eastAsia="宋体" w:cs="宋体"/>
                <w:bCs/>
                <w:snapToGrid w:val="0"/>
                <w:color w:val="auto"/>
                <w:kern w:val="0"/>
                <w:sz w:val="24"/>
                <w:szCs w:val="24"/>
                <w:lang w:val="en-US" w:eastAsia="zh-CN"/>
              </w:rPr>
              <w:t>青岛科技大学</w:t>
            </w:r>
          </w:p>
        </w:tc>
        <w:tc>
          <w:tcPr>
            <w:tcW w:w="102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napToGrid w:val="0"/>
                <w:color w:val="auto"/>
                <w:kern w:val="0"/>
                <w:sz w:val="24"/>
                <w:szCs w:val="24"/>
                <w:lang w:val="en-US" w:eastAsia="zh-CN"/>
              </w:rPr>
            </w:pPr>
            <w:r>
              <w:rPr>
                <w:rFonts w:hint="eastAsia" w:ascii="宋体" w:hAnsi="宋体" w:eastAsia="宋体" w:cs="宋体"/>
                <w:snapToGrid w:val="0"/>
                <w:color w:val="auto"/>
                <w:kern w:val="0"/>
                <w:sz w:val="24"/>
                <w:szCs w:val="24"/>
                <w:lang w:val="en-US" w:eastAsia="zh-CN"/>
              </w:rPr>
              <w:t>教授</w:t>
            </w:r>
          </w:p>
        </w:tc>
        <w:tc>
          <w:tcPr>
            <w:tcW w:w="203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color w:val="auto"/>
                <w:sz w:val="24"/>
                <w:szCs w:val="24"/>
              </w:rPr>
            </w:pPr>
          </w:p>
        </w:tc>
      </w:tr>
    </w:tbl>
    <w:p>
      <w:pPr>
        <w:spacing w:line="276" w:lineRule="auto"/>
        <w:ind w:firstLine="562" w:firstLineChars="200"/>
        <w:rPr>
          <w:b/>
          <w:color w:val="auto"/>
          <w:sz w:val="28"/>
        </w:rPr>
      </w:pPr>
    </w:p>
    <w:p>
      <w:pPr>
        <w:spacing w:line="276" w:lineRule="auto"/>
        <w:ind w:firstLine="482" w:firstLineChars="200"/>
        <w:jc w:val="right"/>
        <w:outlineLvl w:val="0"/>
        <w:rPr>
          <w:b/>
          <w:bCs/>
          <w:color w:val="auto"/>
          <w:sz w:val="24"/>
        </w:rPr>
      </w:pPr>
      <w:r>
        <w:rPr>
          <w:b/>
          <w:bCs/>
          <w:color w:val="auto"/>
          <w:sz w:val="24"/>
        </w:rPr>
        <w:t>202</w:t>
      </w:r>
      <w:r>
        <w:rPr>
          <w:rFonts w:hint="eastAsia"/>
          <w:b/>
          <w:bCs/>
          <w:color w:val="auto"/>
          <w:sz w:val="24"/>
        </w:rPr>
        <w:t>1</w:t>
      </w:r>
      <w:r>
        <w:rPr>
          <w:b/>
          <w:bCs/>
          <w:color w:val="auto"/>
          <w:sz w:val="24"/>
        </w:rPr>
        <w:t>年</w:t>
      </w:r>
      <w:r>
        <w:rPr>
          <w:rFonts w:hint="eastAsia"/>
          <w:b/>
          <w:bCs/>
          <w:color w:val="auto"/>
          <w:sz w:val="24"/>
          <w:lang w:val="en-US" w:eastAsia="zh-CN"/>
        </w:rPr>
        <w:t>11</w:t>
      </w:r>
      <w:r>
        <w:rPr>
          <w:b/>
          <w:bCs/>
          <w:color w:val="auto"/>
          <w:sz w:val="24"/>
        </w:rPr>
        <w:t>月</w:t>
      </w:r>
      <w:r>
        <w:rPr>
          <w:rFonts w:hint="eastAsia"/>
          <w:b/>
          <w:bCs/>
          <w:color w:val="auto"/>
          <w:sz w:val="24"/>
          <w:lang w:val="en-US" w:eastAsia="zh-CN"/>
        </w:rPr>
        <w:t>7</w:t>
      </w:r>
      <w:r>
        <w:rPr>
          <w:b/>
          <w:bCs/>
          <w:color w:val="auto"/>
          <w:sz w:val="24"/>
        </w:rPr>
        <w:t>日</w:t>
      </w:r>
    </w:p>
    <w:sectPr>
      <w:headerReference r:id="rId3" w:type="default"/>
      <w:footerReference r:id="rId4" w:type="default"/>
      <w:pgSz w:w="11906" w:h="16838"/>
      <w:pgMar w:top="1440" w:right="1797" w:bottom="1440" w:left="1797" w:header="709" w:footer="709" w:gutter="0"/>
      <w:cols w:space="425"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1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B71EED"/>
    <w:rsid w:val="56F215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14">
    <w:name w:val="Default Paragraph Font"/>
    <w:qFormat/>
    <w:uiPriority w:val="1"/>
  </w:style>
  <w:style w:type="table" w:default="1" w:styleId="12">
    <w:name w:val="Normal Table"/>
    <w:qFormat/>
    <w:uiPriority w:val="99"/>
    <w:tblPr>
      <w:tblCellMar>
        <w:top w:w="0" w:type="dxa"/>
        <w:left w:w="108" w:type="dxa"/>
        <w:bottom w:w="0" w:type="dxa"/>
        <w:right w:w="108" w:type="dxa"/>
      </w:tblCellMar>
    </w:tblPr>
  </w:style>
  <w:style w:type="paragraph" w:styleId="2">
    <w:name w:val="Body Text First Indent 2"/>
    <w:basedOn w:val="3"/>
    <w:next w:val="6"/>
    <w:link w:val="24"/>
    <w:qFormat/>
    <w:uiPriority w:val="99"/>
    <w:pPr>
      <w:ind w:firstLine="420" w:firstLineChars="200"/>
    </w:pPr>
  </w:style>
  <w:style w:type="paragraph" w:styleId="3">
    <w:name w:val="Body Text Indent"/>
    <w:basedOn w:val="1"/>
    <w:next w:val="4"/>
    <w:link w:val="23"/>
    <w:qFormat/>
    <w:uiPriority w:val="99"/>
    <w:pPr>
      <w:spacing w:after="120"/>
      <w:ind w:left="420" w:leftChars="200"/>
    </w:pPr>
  </w:style>
  <w:style w:type="paragraph" w:styleId="4">
    <w:name w:val="Body Text First Indent"/>
    <w:basedOn w:val="5"/>
    <w:link w:val="20"/>
    <w:qFormat/>
    <w:uiPriority w:val="99"/>
    <w:pPr>
      <w:ind w:firstLine="420" w:firstLineChars="100"/>
    </w:pPr>
    <w:rPr>
      <w:szCs w:val="21"/>
    </w:rPr>
  </w:style>
  <w:style w:type="paragraph" w:styleId="5">
    <w:name w:val="Body Text"/>
    <w:basedOn w:val="1"/>
    <w:link w:val="19"/>
    <w:qFormat/>
    <w:uiPriority w:val="99"/>
    <w:pPr>
      <w:spacing w:after="120"/>
    </w:pPr>
  </w:style>
  <w:style w:type="paragraph" w:customStyle="1" w:styleId="6">
    <w:name w:val="Default"/>
    <w:next w:val="2"/>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7">
    <w:name w:val="annotation text"/>
    <w:basedOn w:val="1"/>
    <w:link w:val="21"/>
    <w:qFormat/>
    <w:uiPriority w:val="0"/>
    <w:pPr>
      <w:jc w:val="left"/>
    </w:pPr>
  </w:style>
  <w:style w:type="paragraph" w:styleId="8">
    <w:name w:val="Balloon Text"/>
    <w:basedOn w:val="1"/>
    <w:link w:val="22"/>
    <w:qFormat/>
    <w:uiPriority w:val="99"/>
    <w:rPr>
      <w:sz w:val="18"/>
      <w:szCs w:val="18"/>
    </w:rPr>
  </w:style>
  <w:style w:type="paragraph" w:styleId="9">
    <w:name w:val="footer"/>
    <w:basedOn w:val="1"/>
    <w:link w:val="17"/>
    <w:qFormat/>
    <w:uiPriority w:val="99"/>
    <w:pPr>
      <w:tabs>
        <w:tab w:val="center" w:pos="4153"/>
        <w:tab w:val="right" w:pos="8306"/>
      </w:tabs>
      <w:snapToGrid w:val="0"/>
      <w:jc w:val="left"/>
    </w:pPr>
    <w:rPr>
      <w:rFonts w:ascii="Calibri" w:hAnsi="Calibri" w:cs="宋体"/>
      <w:sz w:val="18"/>
      <w:szCs w:val="18"/>
    </w:rPr>
  </w:style>
  <w:style w:type="paragraph" w:styleId="10">
    <w:name w:val="header"/>
    <w:basedOn w:val="1"/>
    <w:link w:val="16"/>
    <w:qFormat/>
    <w:uiPriority w:val="99"/>
    <w:pPr>
      <w:pBdr>
        <w:bottom w:val="single" w:color="auto" w:sz="6" w:space="1"/>
      </w:pBdr>
      <w:tabs>
        <w:tab w:val="center" w:pos="4153"/>
        <w:tab w:val="right" w:pos="8306"/>
      </w:tabs>
      <w:snapToGrid w:val="0"/>
      <w:jc w:val="center"/>
    </w:pPr>
    <w:rPr>
      <w:rFonts w:ascii="Calibri" w:hAnsi="Calibri" w:cs="宋体"/>
      <w:sz w:val="18"/>
      <w:szCs w:val="18"/>
    </w:rPr>
  </w:style>
  <w:style w:type="paragraph" w:styleId="11">
    <w:name w:val="annotation subject"/>
    <w:basedOn w:val="7"/>
    <w:next w:val="7"/>
    <w:link w:val="25"/>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annotation reference"/>
    <w:qFormat/>
    <w:uiPriority w:val="99"/>
    <w:rPr>
      <w:sz w:val="21"/>
      <w:szCs w:val="21"/>
    </w:rPr>
  </w:style>
  <w:style w:type="character" w:customStyle="1" w:styleId="16">
    <w:name w:val="页眉 Char"/>
    <w:basedOn w:val="14"/>
    <w:link w:val="10"/>
    <w:qFormat/>
    <w:uiPriority w:val="99"/>
    <w:rPr>
      <w:sz w:val="18"/>
      <w:szCs w:val="18"/>
    </w:rPr>
  </w:style>
  <w:style w:type="character" w:customStyle="1" w:styleId="17">
    <w:name w:val="页脚 Char"/>
    <w:basedOn w:val="14"/>
    <w:link w:val="9"/>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正文文本 Char"/>
    <w:basedOn w:val="14"/>
    <w:link w:val="5"/>
    <w:qFormat/>
    <w:uiPriority w:val="99"/>
    <w:rPr>
      <w:rFonts w:ascii="Times New Roman" w:hAnsi="Times New Roman" w:eastAsia="宋体" w:cs="Times New Roman"/>
      <w:szCs w:val="20"/>
    </w:rPr>
  </w:style>
  <w:style w:type="character" w:customStyle="1" w:styleId="20">
    <w:name w:val="正文首行缩进 Char"/>
    <w:basedOn w:val="19"/>
    <w:link w:val="4"/>
    <w:qFormat/>
    <w:uiPriority w:val="99"/>
    <w:rPr>
      <w:rFonts w:ascii="Times New Roman" w:hAnsi="Times New Roman" w:eastAsia="宋体" w:cs="Times New Roman"/>
      <w:szCs w:val="21"/>
    </w:rPr>
  </w:style>
  <w:style w:type="character" w:customStyle="1" w:styleId="21">
    <w:name w:val="批注文字 Char"/>
    <w:basedOn w:val="14"/>
    <w:link w:val="7"/>
    <w:qFormat/>
    <w:uiPriority w:val="0"/>
    <w:rPr>
      <w:rFonts w:ascii="Times New Roman" w:hAnsi="Times New Roman" w:eastAsia="宋体" w:cs="Times New Roman"/>
      <w:szCs w:val="20"/>
    </w:rPr>
  </w:style>
  <w:style w:type="character" w:customStyle="1" w:styleId="22">
    <w:name w:val="批注框文本 Char"/>
    <w:basedOn w:val="14"/>
    <w:link w:val="8"/>
    <w:qFormat/>
    <w:uiPriority w:val="99"/>
    <w:rPr>
      <w:rFonts w:ascii="Times New Roman" w:hAnsi="Times New Roman" w:eastAsia="宋体" w:cs="Times New Roman"/>
      <w:sz w:val="18"/>
      <w:szCs w:val="18"/>
    </w:rPr>
  </w:style>
  <w:style w:type="character" w:customStyle="1" w:styleId="23">
    <w:name w:val="正文文本缩进 Char"/>
    <w:basedOn w:val="14"/>
    <w:link w:val="3"/>
    <w:qFormat/>
    <w:uiPriority w:val="99"/>
    <w:rPr>
      <w:rFonts w:ascii="Times New Roman" w:hAnsi="Times New Roman" w:cs="Times New Roman"/>
      <w:szCs w:val="20"/>
    </w:rPr>
  </w:style>
  <w:style w:type="character" w:customStyle="1" w:styleId="24">
    <w:name w:val="正文首行缩进 2 Char"/>
    <w:basedOn w:val="23"/>
    <w:link w:val="2"/>
    <w:qFormat/>
    <w:uiPriority w:val="99"/>
    <w:rPr>
      <w:rFonts w:ascii="Times New Roman" w:hAnsi="Times New Roman" w:cs="Times New Roman"/>
      <w:szCs w:val="20"/>
    </w:rPr>
  </w:style>
  <w:style w:type="character" w:customStyle="1" w:styleId="25">
    <w:name w:val="批注主题 Char"/>
    <w:basedOn w:val="21"/>
    <w:link w:val="11"/>
    <w:qFormat/>
    <w:uiPriority w:val="99"/>
    <w:rPr>
      <w:rFonts w:ascii="Times New Roman" w:hAnsi="Times New Roman" w:eastAsia="宋体" w:cs="Times New Roman"/>
      <w:b/>
      <w:bCs/>
      <w:szCs w:val="20"/>
    </w:rPr>
  </w:style>
  <w:style w:type="paragraph" w:customStyle="1" w:styleId="26">
    <w:name w:val="文字描述"/>
    <w:basedOn w:val="1"/>
    <w:link w:val="27"/>
    <w:qFormat/>
    <w:uiPriority w:val="0"/>
    <w:pPr>
      <w:adjustRightInd w:val="0"/>
      <w:snapToGrid w:val="0"/>
      <w:spacing w:line="360" w:lineRule="auto"/>
      <w:ind w:firstLine="200" w:firstLineChars="200"/>
    </w:pPr>
    <w:rPr>
      <w:spacing w:val="-2"/>
      <w:sz w:val="24"/>
      <w:szCs w:val="24"/>
    </w:rPr>
  </w:style>
  <w:style w:type="character" w:customStyle="1" w:styleId="27">
    <w:name w:val="文字描述 Char"/>
    <w:link w:val="26"/>
    <w:qFormat/>
    <w:uiPriority w:val="0"/>
    <w:rPr>
      <w:rFonts w:ascii="Times New Roman" w:hAnsi="Times New Roman" w:cs="Times New Roman"/>
      <w:spacing w:val="-2"/>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青岛谱尼测试有限公司</Company>
  <Pages>4</Pages>
  <Words>2347</Words>
  <Characters>2532</Characters>
  <Paragraphs>116</Paragraphs>
  <TotalTime>11</TotalTime>
  <ScaleCrop>false</ScaleCrop>
  <LinksUpToDate>false</LinksUpToDate>
  <CharactersWithSpaces>2551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2020-01-08T14:14:00Z</dcterms:created>
  <dc:creator>Admin</dc:creator>
  <cp:lastModifiedBy>环保管家</cp:lastModifiedBy>
  <cp:lastPrinted>2020-06-15T10:19:00Z</cp:lastPrinted>
  <dcterms:modified xsi:type="dcterms:W3CDTF">2021-11-15T02:05:01Z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0CC4960AFBED435A8D31A6720D2784C5</vt:lpwstr>
  </property>
</Properties>
</file>